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lang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宋体" w:eastAsia="方正小标宋简体" w:cs="宋体"/>
          <w:sz w:val="44"/>
          <w:szCs w:val="44"/>
        </w:rPr>
        <w:t>龙岗区2019年国民经济和社会发展计划执行情况与2020年计划（草案）</w:t>
      </w:r>
    </w:p>
    <w:p>
      <w:pPr>
        <w:spacing w:line="560" w:lineRule="exact"/>
        <w:jc w:val="center"/>
        <w:rPr>
          <w:rFonts w:ascii="楷体_GB2312" w:hAnsi="宋体" w:eastAsia="楷体_GB2312"/>
          <w:sz w:val="32"/>
          <w:szCs w:val="32"/>
        </w:rPr>
      </w:pPr>
      <w:r>
        <w:rPr>
          <w:rFonts w:hint="eastAsia" w:ascii="楷体_GB2312" w:hAnsi="宋体" w:eastAsia="楷体_GB2312"/>
          <w:sz w:val="32"/>
          <w:szCs w:val="32"/>
        </w:rPr>
        <w:t>——2020年1月XX日在龙岗区第六届</w:t>
      </w:r>
    </w:p>
    <w:p>
      <w:pPr>
        <w:spacing w:line="560" w:lineRule="exact"/>
        <w:jc w:val="center"/>
        <w:rPr>
          <w:rFonts w:ascii="楷体_GB2312" w:hAnsi="宋体" w:eastAsia="楷体_GB2312"/>
          <w:sz w:val="32"/>
          <w:szCs w:val="32"/>
        </w:rPr>
      </w:pPr>
      <w:r>
        <w:rPr>
          <w:rFonts w:hint="eastAsia" w:ascii="楷体_GB2312" w:hAnsi="宋体" w:eastAsia="楷体_GB2312"/>
          <w:sz w:val="32"/>
          <w:szCs w:val="32"/>
        </w:rPr>
        <w:t>人民代表大会第五次会议上</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公开征求意见</w:t>
      </w:r>
      <w:r>
        <w:rPr>
          <w:rFonts w:hint="eastAsia" w:ascii="楷体_GB2312" w:hAnsi="楷体_GB2312" w:eastAsia="楷体_GB2312" w:cs="楷体_GB2312"/>
          <w:kern w:val="0"/>
          <w:sz w:val="32"/>
          <w:szCs w:val="32"/>
        </w:rPr>
        <w:t>稿）</w:t>
      </w:r>
      <w:bookmarkStart w:id="0" w:name="_GoBack"/>
      <w:bookmarkEnd w:id="0"/>
    </w:p>
    <w:p>
      <w:pPr>
        <w:spacing w:line="560" w:lineRule="exact"/>
        <w:ind w:firstLine="632" w:firstLineChars="196"/>
        <w:rPr>
          <w:rFonts w:ascii="黑体" w:eastAsia="黑体"/>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各位代表：</w:t>
      </w:r>
    </w:p>
    <w:p>
      <w:pPr>
        <w:spacing w:line="560" w:lineRule="exact"/>
        <w:ind w:firstLine="632" w:firstLineChars="196"/>
        <w:outlineLvl w:val="0"/>
        <w:rPr>
          <w:rFonts w:ascii="黑体" w:eastAsia="黑体"/>
          <w:sz w:val="32"/>
          <w:szCs w:val="32"/>
        </w:rPr>
      </w:pPr>
      <w:r>
        <w:rPr>
          <w:rFonts w:hint="eastAsia" w:ascii="仿宋_GB2312" w:eastAsia="仿宋_GB2312"/>
          <w:sz w:val="32"/>
          <w:szCs w:val="32"/>
        </w:rPr>
        <w:t>受区人民政府委托，我向大会报告龙岗区2019年国民经济和社会发展计划执行情况与2020年计划草案，请予审议，并请各位政协委员和其他列席人员提出意见。</w:t>
      </w:r>
    </w:p>
    <w:p>
      <w:pPr>
        <w:pStyle w:val="4"/>
        <w:spacing w:line="560" w:lineRule="exact"/>
        <w:ind w:firstLine="646" w:firstLineChars="200"/>
        <w:rPr>
          <w:rFonts w:ascii="黑体" w:eastAsia="黑体"/>
          <w:b w:val="0"/>
          <w:bCs/>
          <w:kern w:val="2"/>
          <w:sz w:val="32"/>
          <w:szCs w:val="32"/>
        </w:rPr>
      </w:pPr>
      <w:r>
        <w:rPr>
          <w:rFonts w:hint="eastAsia" w:ascii="黑体" w:eastAsia="黑体"/>
          <w:b w:val="0"/>
          <w:bCs/>
          <w:kern w:val="2"/>
          <w:sz w:val="32"/>
          <w:szCs w:val="32"/>
        </w:rPr>
        <w:t>一、基本面：国民经济和社会发展计划执行稳中向好</w:t>
      </w:r>
    </w:p>
    <w:p>
      <w:pPr>
        <w:spacing w:line="560" w:lineRule="exact"/>
        <w:ind w:firstLine="646" w:firstLineChars="200"/>
        <w:rPr>
          <w:rFonts w:ascii="仿宋_GB2312" w:eastAsia="仿宋_GB2312"/>
          <w:sz w:val="32"/>
          <w:szCs w:val="32"/>
        </w:rPr>
      </w:pPr>
      <w:r>
        <w:rPr>
          <w:rFonts w:hint="eastAsia" w:ascii="仿宋_GB2312" w:eastAsia="仿宋_GB2312"/>
          <w:kern w:val="0"/>
          <w:sz w:val="32"/>
          <w:szCs w:val="32"/>
        </w:rPr>
        <w:t>今年以来，龙岗区以</w:t>
      </w:r>
      <w:r>
        <w:rPr>
          <w:rFonts w:hint="eastAsia" w:ascii="仿宋_GB2312" w:hAnsi="仿宋" w:eastAsia="仿宋_GB2312"/>
          <w:sz w:val="32"/>
          <w:szCs w:val="32"/>
        </w:rPr>
        <w:t>习近平新时代中国特色社会主义思想为指导，坚持稳中求进工作总基调，把建设中国特色社会主义先行示范区作为各项工作的总牵引、总要求，贯彻落实市委六届一次、十二次全会和市“两会”工作部署，主动接受人大监督，落实人大审议意见，高质量推进国民经济和社会发展各项工作，较好完成了全年工作任务。</w:t>
      </w:r>
    </w:p>
    <w:p>
      <w:pPr>
        <w:pStyle w:val="4"/>
        <w:spacing w:line="560" w:lineRule="exact"/>
        <w:ind w:firstLine="646" w:firstLineChars="200"/>
        <w:rPr>
          <w:rFonts w:ascii="仿宋_GB2312" w:hAnsi="黑体" w:eastAsia="仿宋_GB2312"/>
          <w:sz w:val="32"/>
          <w:szCs w:val="32"/>
        </w:rPr>
      </w:pPr>
      <w:r>
        <w:rPr>
          <w:rFonts w:hint="eastAsia" w:ascii="黑体" w:eastAsia="黑体"/>
          <w:b w:val="0"/>
          <w:kern w:val="2"/>
          <w:sz w:val="32"/>
          <w:szCs w:val="32"/>
        </w:rPr>
        <w:t>二、支撑面：全年经济社会平稳发展</w:t>
      </w:r>
    </w:p>
    <w:p>
      <w:pPr>
        <w:pStyle w:val="6"/>
        <w:ind w:firstLine="646"/>
        <w:rPr>
          <w:rFonts w:hAnsi="仿宋_GB2312" w:cs="仿宋_GB2312"/>
        </w:rPr>
      </w:pPr>
      <w:r>
        <w:rPr>
          <w:rFonts w:hint="eastAsia" w:hAnsi="仿宋_GB2312" w:cs="仿宋_GB2312"/>
        </w:rPr>
        <w:t>全区上下持续保持昂扬向上、奋发有为的精神状态，以闻鸡起舞、日夜兼程、风雨无阻的工作作风，克服复杂多变的外部环境和自身转型发展的挑战，通过扎实奋斗，取得了较好的成绩，在中国社会科学院财政战略研究院发布的2019年全国百强县（区）报告中名列百强区</w:t>
      </w:r>
      <w:r>
        <w:rPr>
          <w:rFonts w:hint="eastAsia" w:hAnsi="Times New Roman"/>
          <w:kern w:val="0"/>
        </w:rPr>
        <w:t>榜首</w:t>
      </w:r>
      <w:r>
        <w:rPr>
          <w:rFonts w:hint="eastAsia" w:hAnsi="仿宋_GB2312" w:cs="仿宋_GB2312"/>
        </w:rPr>
        <w:t>。</w:t>
      </w:r>
    </w:p>
    <w:p>
      <w:pPr>
        <w:pStyle w:val="5"/>
        <w:spacing w:line="560" w:lineRule="exact"/>
        <w:ind w:firstLine="646"/>
        <w:rPr>
          <w:rFonts w:ascii="仿宋_GB2312" w:hAnsi="Times New Roman" w:eastAsia="仿宋_GB2312"/>
          <w:b w:val="0"/>
          <w:kern w:val="0"/>
        </w:rPr>
      </w:pPr>
      <w:r>
        <w:rPr>
          <w:rFonts w:hint="eastAsia" w:ascii="楷体_GB2312" w:hAnsi="楷体_GB2312" w:eastAsia="楷体_GB2312" w:cs="楷体_GB2312"/>
          <w:b w:val="0"/>
          <w:kern w:val="0"/>
        </w:rPr>
        <w:t>（一）紧抓“双区驱动”机遇，勇当先行示范区建设排头兵</w:t>
      </w:r>
    </w:p>
    <w:p>
      <w:pPr>
        <w:pStyle w:val="6"/>
        <w:ind w:firstLine="646"/>
        <w:rPr>
          <w:rFonts w:hAnsi="Times New Roman"/>
          <w:kern w:val="0"/>
        </w:rPr>
      </w:pPr>
      <w:r>
        <w:rPr>
          <w:rFonts w:hint="eastAsia"/>
        </w:rPr>
        <w:t>发挥大湾区和示范区“双区驱动效应”，主动融入大湾区发展格局，勇当示范区建设排头兵。</w:t>
      </w:r>
      <w:r>
        <w:rPr>
          <w:rFonts w:hint="eastAsia" w:hAnsi="Times New Roman"/>
          <w:b/>
          <w:bCs/>
          <w:kern w:val="0"/>
        </w:rPr>
        <w:t>一是</w:t>
      </w:r>
      <w:r>
        <w:rPr>
          <w:rFonts w:hint="eastAsia" w:hAnsi="Times New Roman"/>
          <w:kern w:val="0"/>
        </w:rPr>
        <w:t>发挥“双区驱动效应”。制定龙岗区落实《粤港澳大湾区规划纲要》三年行动方案和2019年工作要点，强化我区战略定位，助力全市打造大湾区核心引擎。制定龙岗区勇当深圳建设中国特色社会主义先行示范区排头兵六年行动方案、三年工作计划和2020年工作要点，明确我区勇当排头兵的总体目标、路线图和工作任务，推动先行示范区各项工作率先在我区落地生根。</w:t>
      </w:r>
      <w:r>
        <w:rPr>
          <w:rFonts w:hint="eastAsia" w:hAnsi="Times New Roman"/>
          <w:b/>
          <w:bCs/>
          <w:kern w:val="0"/>
        </w:rPr>
        <w:t>二是</w:t>
      </w:r>
      <w:r>
        <w:rPr>
          <w:rFonts w:hint="eastAsia" w:hAnsi="Times New Roman"/>
          <w:kern w:val="0"/>
        </w:rPr>
        <w:t>落实“双核引领、多轮驱动”发展战略。新增东部高铁新城、甘坑新镇、云创小镇、龙西-五联片区、布吉新城、盛平-龙园片区、横岗南片区等7个区级重点区域，构建“4+9”重点区域协同发展格局，发挥强劲带动作用，促进全区均衡优质发展。</w:t>
      </w:r>
    </w:p>
    <w:p>
      <w:pPr>
        <w:pStyle w:val="5"/>
        <w:spacing w:line="560" w:lineRule="exact"/>
        <w:ind w:firstLine="646"/>
        <w:rPr>
          <w:rFonts w:ascii="楷体_GB2312" w:hAnsi="楷体" w:eastAsia="楷体_GB2312"/>
          <w:b w:val="0"/>
        </w:rPr>
      </w:pPr>
      <w:r>
        <w:rPr>
          <w:rFonts w:hint="eastAsia" w:ascii="楷体_GB2312" w:hAnsi="楷体" w:eastAsia="楷体_GB2312"/>
          <w:b w:val="0"/>
        </w:rPr>
        <w:t>（二）营商环境逐步优化，经济质量稳步提升</w:t>
      </w:r>
    </w:p>
    <w:p>
      <w:pPr>
        <w:pStyle w:val="6"/>
        <w:ind w:firstLine="646"/>
        <w:rPr>
          <w:rFonts w:hAnsi="黑体"/>
        </w:rPr>
      </w:pPr>
      <w:r>
        <w:rPr>
          <w:rFonts w:hint="eastAsia" w:hAnsi="黑体"/>
        </w:rPr>
        <w:t>深度优化营商环境，加快经济高质量发展。</w:t>
      </w:r>
      <w:r>
        <w:rPr>
          <w:rFonts w:hint="eastAsia" w:hAnsi="黑体"/>
          <w:b/>
          <w:bCs/>
        </w:rPr>
        <w:t>一是</w:t>
      </w:r>
      <w:r>
        <w:rPr>
          <w:rFonts w:hint="eastAsia" w:hAnsi="黑体"/>
        </w:rPr>
        <w:t>经济总量和质量持续提高。前三季度，地区生产总值总量全市排名第二；规上工业增加值总量全市排名第一，增速全市排名第二。万元GDP水耗7.94吨，比上年同期下降5.1%；万元GDP电耗403.47度，下降3.1%。新增国高企业超过400家，净增规模以上工业企业125家，企业质量不断提升。</w:t>
      </w:r>
      <w:r>
        <w:rPr>
          <w:rFonts w:hint="eastAsia" w:hAnsi="黑体"/>
          <w:b/>
          <w:bCs/>
        </w:rPr>
        <w:t>二是</w:t>
      </w:r>
      <w:r>
        <w:rPr>
          <w:rFonts w:hint="eastAsia" w:hAnsi="黑体"/>
        </w:rPr>
        <w:t>深度优化营商环境。出台降成本和金融支持民营经济发展“双12条”措施，印发实施实体经济发展专项行动方案，全方位降低实体经济成本。实施更大规模减税降费政策措施，新增减税降费规模达113.8亿元，占全市比重达14.1%。推出全市首个‘信易贷’项目，成功为7家企业申请3100万元信用贷款。建成全市首个区级信用联合奖惩系统，签署10个区级信用联合奖惩备忘录，信用监管不断加强。</w:t>
      </w:r>
      <w:r>
        <w:rPr>
          <w:rFonts w:hint="eastAsia" w:hAnsi="黑体"/>
          <w:b/>
          <w:bCs/>
        </w:rPr>
        <w:t>三是</w:t>
      </w:r>
      <w:r>
        <w:rPr>
          <w:rFonts w:hint="eastAsia" w:hAnsi="黑体"/>
        </w:rPr>
        <w:t>精准做好企业服务。召开重点企业诉求协调会5次，走访中坚企业300多家，中小企业1600多家，解决问题5000多</w:t>
      </w:r>
      <w:r>
        <w:rPr>
          <w:rFonts w:hint="eastAsia" w:hAnsi="黑体"/>
          <w:lang w:eastAsia="zh-CN"/>
        </w:rPr>
        <w:t>个</w:t>
      </w:r>
      <w:r>
        <w:rPr>
          <w:rFonts w:hint="eastAsia" w:hAnsi="黑体"/>
        </w:rPr>
        <w:t>。</w:t>
      </w:r>
      <w:r>
        <w:rPr>
          <w:rFonts w:hint="eastAsia" w:hAnsi="黑体"/>
          <w:b/>
          <w:bCs/>
        </w:rPr>
        <w:t>四是</w:t>
      </w:r>
      <w:r>
        <w:rPr>
          <w:rFonts w:hint="eastAsia" w:hAnsi="黑体"/>
        </w:rPr>
        <w:t>大力开展产业链招商。成功举办建区以来规模最大营商环境展示暨招商引资大会，发布我区首部产业发展白皮书。立足产业链需求，以六大产业集群为导向，开启靶向招商，吸引投资意向金额达235亿元。</w:t>
      </w:r>
    </w:p>
    <w:p>
      <w:pPr>
        <w:pStyle w:val="2"/>
        <w:spacing w:line="560" w:lineRule="exact"/>
        <w:ind w:firstLine="646" w:firstLineChars="200"/>
        <w:rPr>
          <w:rFonts w:ascii="楷体_GB2312" w:hAnsi="楷体" w:eastAsia="楷体_GB2312" w:cs="Times New Roman"/>
          <w:sz w:val="32"/>
          <w:szCs w:val="32"/>
        </w:rPr>
      </w:pPr>
      <w:r>
        <w:rPr>
          <w:rFonts w:hint="eastAsia" w:ascii="楷体_GB2312" w:hAnsi="楷体" w:eastAsia="楷体_GB2312"/>
          <w:sz w:val="32"/>
          <w:szCs w:val="32"/>
        </w:rPr>
        <w:t>（三）</w:t>
      </w:r>
      <w:r>
        <w:rPr>
          <w:rFonts w:hint="eastAsia" w:ascii="楷体_GB2312" w:hAnsi="楷体" w:eastAsia="楷体_GB2312" w:cs="Times New Roman"/>
          <w:sz w:val="32"/>
          <w:szCs w:val="32"/>
        </w:rPr>
        <w:t>高端资源加速集聚，</w:t>
      </w:r>
      <w:r>
        <w:rPr>
          <w:rFonts w:hint="eastAsia" w:ascii="楷体_GB2312" w:hAnsi="楷体" w:eastAsia="楷体_GB2312"/>
          <w:sz w:val="32"/>
          <w:szCs w:val="32"/>
        </w:rPr>
        <w:t>创</w:t>
      </w:r>
      <w:r>
        <w:rPr>
          <w:rFonts w:hint="eastAsia" w:ascii="楷体_GB2312" w:hAnsi="楷体" w:eastAsia="楷体_GB2312" w:cs="Times New Roman"/>
          <w:sz w:val="32"/>
          <w:szCs w:val="32"/>
        </w:rPr>
        <w:t>新能力显著提高</w:t>
      </w:r>
    </w:p>
    <w:p>
      <w:pPr>
        <w:pStyle w:val="2"/>
        <w:spacing w:line="560" w:lineRule="exact"/>
        <w:ind w:firstLine="646" w:firstLineChars="200"/>
        <w:rPr>
          <w:rFonts w:ascii="楷体_GB2312" w:hAnsi="楷体" w:eastAsia="楷体_GB2312"/>
          <w:sz w:val="32"/>
          <w:szCs w:val="32"/>
        </w:rPr>
      </w:pPr>
      <w:r>
        <w:rPr>
          <w:rFonts w:hint="eastAsia" w:ascii="仿宋_GB2312" w:hAnsi="黑体" w:eastAsia="仿宋_GB2312" w:cs="Times New Roman"/>
          <w:sz w:val="32"/>
          <w:szCs w:val="32"/>
        </w:rPr>
        <w:t>把创新作为第一动力，全面落实创新驱动战略，优化创新布局，</w:t>
      </w:r>
      <w:r>
        <w:rPr>
          <w:rFonts w:hint="eastAsia" w:ascii="仿宋_GB2312" w:hAnsi="仿宋_GB2312" w:eastAsia="仿宋_GB2312" w:cs="仿宋_GB2312"/>
          <w:bCs/>
          <w:sz w:val="32"/>
          <w:szCs w:val="32"/>
        </w:rPr>
        <w:t>提升创新能力。</w:t>
      </w:r>
      <w:r>
        <w:rPr>
          <w:rFonts w:hint="eastAsia" w:ascii="仿宋_GB2312" w:hAnsi="黑体" w:eastAsia="仿宋_GB2312" w:cs="Times New Roman"/>
          <w:b/>
          <w:bCs/>
          <w:sz w:val="32"/>
          <w:szCs w:val="32"/>
        </w:rPr>
        <w:t>一是</w:t>
      </w:r>
      <w:r>
        <w:rPr>
          <w:rFonts w:hint="eastAsia" w:ascii="仿宋_GB2312" w:hAnsi="黑体" w:eastAsia="仿宋_GB2312" w:cs="Times New Roman"/>
          <w:sz w:val="32"/>
          <w:szCs w:val="32"/>
        </w:rPr>
        <w:t>创新政策引导力度进一步加大。以区委“1号文”推出59项创新举措。印发实施新的支持科技创新实施细则，上调7项扶持金额，新增9项扶持政策，重构五大类23项科技计划体系。二</w:t>
      </w:r>
      <w:r>
        <w:rPr>
          <w:rFonts w:hint="eastAsia" w:ascii="仿宋_GB2312" w:hAnsi="黑体" w:eastAsia="仿宋_GB2312" w:cs="Times New Roman"/>
          <w:b/>
          <w:bCs/>
          <w:sz w:val="32"/>
          <w:szCs w:val="32"/>
        </w:rPr>
        <w:t>是</w:t>
      </w:r>
      <w:r>
        <w:rPr>
          <w:rFonts w:hint="eastAsia" w:ascii="仿宋_GB2312" w:hAnsi="黑体" w:eastAsia="仿宋_GB2312" w:cs="Times New Roman"/>
          <w:sz w:val="32"/>
          <w:szCs w:val="32"/>
        </w:rPr>
        <w:t>创新能力持续增强。港中大（深圳）人工智能与机器人研究院、大数据研究院入选全市十大基础研究机构。新增创新平台35家，总量超过195家。新增创新产业园3家，孵化器5家，创新创业团队6个，专利申请量超过3万件。</w:t>
      </w:r>
      <w:r>
        <w:rPr>
          <w:rFonts w:hint="eastAsia" w:ascii="仿宋_GB2312" w:hAnsi="黑体" w:eastAsia="仿宋_GB2312" w:cs="Times New Roman"/>
          <w:b/>
          <w:bCs/>
          <w:sz w:val="32"/>
          <w:szCs w:val="32"/>
        </w:rPr>
        <w:t>三是</w:t>
      </w:r>
      <w:r>
        <w:rPr>
          <w:rFonts w:hint="eastAsia" w:ascii="仿宋_GB2312" w:hAnsi="黑体" w:eastAsia="仿宋_GB2312" w:cs="Times New Roman"/>
          <w:sz w:val="32"/>
          <w:szCs w:val="32"/>
        </w:rPr>
        <w:t>创新氛围更加浓厚。成功举办深创赛第三届国际赛、双创周等系列创新活动。</w:t>
      </w:r>
      <w:r>
        <w:rPr>
          <w:rFonts w:hint="eastAsia" w:ascii="仿宋_GB2312" w:hAnsi="仿宋_GB2312" w:eastAsia="仿宋_GB2312" w:cs="仿宋_GB2312"/>
          <w:sz w:val="32"/>
          <w:szCs w:val="32"/>
        </w:rPr>
        <w:t>筹建龙岗区知识产权服务中心，引入中国（南方）知识产权运营中心等权威机构。</w:t>
      </w:r>
      <w:r>
        <w:rPr>
          <w:rFonts w:hint="eastAsia" w:ascii="仿宋_GB2312" w:hAnsi="仿宋_GB2312" w:eastAsia="仿宋_GB2312" w:cs="仿宋_GB2312"/>
          <w:b/>
          <w:bCs/>
          <w:sz w:val="32"/>
          <w:szCs w:val="32"/>
        </w:rPr>
        <w:t>四是</w:t>
      </w:r>
      <w:r>
        <w:rPr>
          <w:rFonts w:hint="eastAsia" w:ascii="仿宋_GB2312" w:hAnsi="黑体" w:eastAsia="仿宋_GB2312" w:cs="Times New Roman"/>
          <w:sz w:val="32"/>
          <w:szCs w:val="32"/>
        </w:rPr>
        <w:t>人才服务工作更加贴心。认定深龙英才74名，积极落实人才政策。</w:t>
      </w:r>
      <w:r>
        <w:rPr>
          <w:rFonts w:hint="eastAsia" w:ascii="仿宋_GB2312" w:hAnsi="黑体" w:eastAsia="仿宋_GB2312" w:cs="Times New Roman"/>
          <w:sz w:val="32"/>
          <w:szCs w:val="32"/>
          <w:lang w:eastAsia="zh-CN"/>
        </w:rPr>
        <w:t>人力资源智慧广场进驻机构增加到</w:t>
      </w:r>
      <w:r>
        <w:rPr>
          <w:rFonts w:hint="eastAsia" w:ascii="仿宋_GB2312" w:hAnsi="黑体" w:eastAsia="仿宋_GB2312" w:cs="Times New Roman"/>
          <w:sz w:val="32"/>
          <w:szCs w:val="32"/>
          <w:lang w:val="en-US" w:eastAsia="zh-CN"/>
        </w:rPr>
        <w:t>43家</w:t>
      </w:r>
      <w:r>
        <w:rPr>
          <w:rFonts w:hint="eastAsia" w:ascii="仿宋_GB2312" w:hAnsi="仿宋" w:eastAsia="仿宋_GB2312" w:cs="仿宋"/>
          <w:bCs/>
          <w:sz w:val="32"/>
          <w:szCs w:val="32"/>
        </w:rPr>
        <w:t>，服务各类人才512万余人（次）。</w:t>
      </w:r>
    </w:p>
    <w:p>
      <w:pPr>
        <w:pStyle w:val="5"/>
        <w:spacing w:line="560" w:lineRule="exact"/>
        <w:ind w:firstLine="646"/>
        <w:rPr>
          <w:rFonts w:ascii="楷体_GB2312" w:hAnsi="楷体" w:eastAsia="楷体_GB2312"/>
          <w:b w:val="0"/>
        </w:rPr>
      </w:pPr>
      <w:r>
        <w:rPr>
          <w:rFonts w:hint="eastAsia" w:ascii="楷体_GB2312" w:hAnsi="楷体" w:eastAsia="楷体_GB2312"/>
          <w:b w:val="0"/>
        </w:rPr>
        <w:t>（四）改革工作持续深入，多项改革成效显现</w:t>
      </w:r>
    </w:p>
    <w:p>
      <w:pPr>
        <w:pStyle w:val="2"/>
        <w:spacing w:line="560" w:lineRule="exact"/>
        <w:ind w:firstLine="646" w:firstLineChars="200"/>
        <w:rPr>
          <w:rFonts w:ascii="仿宋_GB2312" w:hAnsi="Times New Roman" w:eastAsia="仿宋_GB2312" w:cs="Times New Roman"/>
          <w:bCs/>
          <w:sz w:val="32"/>
          <w:szCs w:val="32"/>
        </w:rPr>
      </w:pPr>
      <w:r>
        <w:rPr>
          <w:rFonts w:hint="eastAsia" w:ascii="仿宋_GB2312" w:hAnsi="楷体" w:eastAsia="仿宋_GB2312"/>
          <w:sz w:val="32"/>
          <w:szCs w:val="32"/>
        </w:rPr>
        <w:t>在增强全面深化改革的精准性、系统性、开创性、协同性上狠下功夫，努力在高举改革旗帜、继续擦亮金字招牌中作出更大贡献。</w:t>
      </w:r>
      <w:r>
        <w:rPr>
          <w:rFonts w:hint="eastAsia" w:ascii="仿宋_GB2312" w:hAnsi="楷体" w:eastAsia="仿宋_GB2312"/>
          <w:b/>
          <w:sz w:val="32"/>
          <w:szCs w:val="32"/>
        </w:rPr>
        <w:t>一是</w:t>
      </w:r>
      <w:r>
        <w:rPr>
          <w:rFonts w:hint="eastAsia" w:ascii="仿宋_GB2312" w:hAnsi="楷体" w:eastAsia="仿宋_GB2312"/>
          <w:bCs/>
          <w:sz w:val="32"/>
          <w:szCs w:val="32"/>
        </w:rPr>
        <w:t>改革组织领导得到加强。组建区委全面深化改革委员会，确定了</w:t>
      </w:r>
      <w:r>
        <w:rPr>
          <w:rFonts w:hint="eastAsia" w:ascii="仿宋_GB2312" w:hAnsi="楷体" w:eastAsia="仿宋_GB2312" w:cs="楷体"/>
          <w:bCs/>
          <w:color w:val="000000"/>
          <w:sz w:val="32"/>
          <w:szCs w:val="32"/>
        </w:rPr>
        <w:t>龙岗区</w:t>
      </w:r>
      <w:r>
        <w:rPr>
          <w:rFonts w:hint="eastAsia" w:ascii="仿宋_GB2312" w:hAnsi="仿宋_GB2312" w:eastAsia="仿宋_GB2312" w:cs="仿宋_GB2312"/>
          <w:bCs/>
          <w:color w:val="000000"/>
          <w:sz w:val="32"/>
          <w:szCs w:val="32"/>
        </w:rPr>
        <w:t>2019年改革计划</w:t>
      </w:r>
      <w:r>
        <w:rPr>
          <w:rFonts w:hint="eastAsia" w:ascii="仿宋_GB2312" w:hAnsi="楷体" w:eastAsia="仿宋_GB2312"/>
          <w:bCs/>
          <w:sz w:val="32"/>
          <w:szCs w:val="32"/>
        </w:rPr>
        <w:t>和</w:t>
      </w:r>
      <w:r>
        <w:rPr>
          <w:rFonts w:hint="eastAsia" w:ascii="仿宋_GB2312" w:hAnsi="楷体" w:eastAsia="仿宋_GB2312" w:cs="楷体"/>
          <w:bCs/>
          <w:color w:val="000000"/>
          <w:sz w:val="32"/>
          <w:szCs w:val="32"/>
        </w:rPr>
        <w:t>全面深化改革委员会工作规则等系列重要事项</w:t>
      </w:r>
      <w:r>
        <w:rPr>
          <w:rFonts w:hint="eastAsia" w:ascii="仿宋_GB2312" w:hAnsi="楷体" w:eastAsia="仿宋_GB2312"/>
          <w:bCs/>
          <w:sz w:val="32"/>
          <w:szCs w:val="32"/>
        </w:rPr>
        <w:t>。</w:t>
      </w:r>
      <w:r>
        <w:rPr>
          <w:rFonts w:hint="eastAsia" w:ascii="仿宋_GB2312" w:hAnsi="楷体" w:eastAsia="仿宋_GB2312"/>
          <w:b/>
          <w:sz w:val="32"/>
          <w:szCs w:val="32"/>
        </w:rPr>
        <w:t>二是</w:t>
      </w:r>
      <w:r>
        <w:rPr>
          <w:rFonts w:hint="eastAsia" w:ascii="仿宋_GB2312" w:hAnsi="楷体" w:eastAsia="仿宋_GB2312" w:cs="楷体"/>
          <w:bCs/>
          <w:color w:val="000000"/>
          <w:sz w:val="32"/>
          <w:szCs w:val="32"/>
        </w:rPr>
        <w:t>改革工作全面推进。</w:t>
      </w:r>
      <w:r>
        <w:rPr>
          <w:rFonts w:hint="eastAsia" w:ascii="仿宋_GB2312" w:hAnsi="仿宋_GB2312" w:eastAsia="仿宋_GB2312" w:cs="仿宋_GB2312"/>
          <w:bCs/>
          <w:color w:val="000000"/>
          <w:sz w:val="32"/>
          <w:szCs w:val="32"/>
        </w:rPr>
        <w:t>2019年改革计划共</w:t>
      </w:r>
      <w:r>
        <w:rPr>
          <w:rFonts w:hint="eastAsia" w:ascii="仿宋_GB2312" w:hAnsi="楷体" w:eastAsia="仿宋_GB2312" w:cs="楷体"/>
          <w:bCs/>
          <w:color w:val="000000"/>
          <w:sz w:val="32"/>
          <w:szCs w:val="32"/>
        </w:rPr>
        <w:t>安排了18个重点改革项目，涵盖经济发展、政府职能转变、民生事业、社会治理、城市建设等多个领域。</w:t>
      </w:r>
      <w:r>
        <w:rPr>
          <w:rFonts w:hint="eastAsia" w:ascii="仿宋_GB2312" w:hAnsi="仿宋_GB2312" w:eastAsia="仿宋_GB2312" w:cs="仿宋_GB2312"/>
          <w:bCs/>
          <w:color w:val="000000"/>
          <w:sz w:val="32"/>
          <w:szCs w:val="32"/>
        </w:rPr>
        <w:t>评选53个“微改革、微创新”入库项目，构</w:t>
      </w:r>
      <w:r>
        <w:rPr>
          <w:rFonts w:hint="eastAsia" w:ascii="仿宋_GB2312" w:hAnsi="楷体" w:eastAsia="仿宋_GB2312" w:cs="楷体"/>
          <w:bCs/>
          <w:color w:val="000000"/>
          <w:sz w:val="32"/>
          <w:szCs w:val="32"/>
        </w:rPr>
        <w:t>成对重点</w:t>
      </w:r>
      <w:r>
        <w:rPr>
          <w:rFonts w:hint="eastAsia" w:ascii="仿宋_GB2312" w:hAnsi="仿宋_GB2312" w:eastAsia="仿宋_GB2312" w:cs="仿宋_GB2312"/>
          <w:bCs/>
          <w:color w:val="000000"/>
          <w:sz w:val="32"/>
          <w:szCs w:val="32"/>
        </w:rPr>
        <w:t>改革项目的有力补充。</w:t>
      </w:r>
      <w:r>
        <w:rPr>
          <w:rFonts w:hint="eastAsia" w:ascii="仿宋_GB2312" w:hAnsi="楷体" w:eastAsia="仿宋_GB2312" w:cs="楷体"/>
          <w:b/>
          <w:color w:val="000000"/>
          <w:sz w:val="32"/>
          <w:szCs w:val="32"/>
        </w:rPr>
        <w:t>三是</w:t>
      </w:r>
      <w:r>
        <w:rPr>
          <w:rFonts w:hint="eastAsia" w:ascii="仿宋_GB2312" w:hAnsi="楷体" w:eastAsia="仿宋_GB2312"/>
          <w:bCs/>
          <w:sz w:val="32"/>
          <w:szCs w:val="32"/>
        </w:rPr>
        <w:t>改革项目初见成效。</w:t>
      </w:r>
      <w:r>
        <w:rPr>
          <w:rFonts w:hint="eastAsia" w:ascii="仿宋_GB2312" w:hAnsi="Times New Roman" w:eastAsia="仿宋_GB2312" w:cs="Times New Roman"/>
          <w:bCs/>
          <w:sz w:val="32"/>
          <w:szCs w:val="32"/>
        </w:rPr>
        <w:t>深入推进“数字政府”综合试点改革，荣获全球智慧城市中国区数字政府创新奖；率先实现个体工商户注册注销“秒批”改革，首推互联网平台公司免费证照帮办服务，荣获“2019中国政府信息化管理创新奖”，是全国唯一获奖的区级单位。</w:t>
      </w:r>
    </w:p>
    <w:p>
      <w:pPr>
        <w:pStyle w:val="5"/>
        <w:spacing w:line="560" w:lineRule="exact"/>
        <w:ind w:firstLine="646"/>
        <w:rPr>
          <w:rFonts w:ascii="楷体_GB2312" w:hAnsi="楷体_GB2312" w:eastAsia="楷体_GB2312" w:cs="楷体_GB2312"/>
          <w:b w:val="0"/>
        </w:rPr>
      </w:pPr>
      <w:r>
        <w:rPr>
          <w:rFonts w:hint="eastAsia" w:ascii="楷体_GB2312" w:hAnsi="楷体" w:eastAsia="楷体_GB2312"/>
          <w:b w:val="0"/>
        </w:rPr>
        <w:t>（</w:t>
      </w:r>
      <w:r>
        <w:rPr>
          <w:rFonts w:hint="eastAsia" w:ascii="楷体_GB2312" w:hAnsi="楷体_GB2312" w:eastAsia="楷体_GB2312" w:cs="楷体_GB2312"/>
          <w:b w:val="0"/>
        </w:rPr>
        <w:t>五）规划设计水平不断提高，城区综合功能逐渐完善</w:t>
      </w:r>
    </w:p>
    <w:p>
      <w:pPr>
        <w:pStyle w:val="17"/>
        <w:spacing w:line="560" w:lineRule="exact"/>
        <w:ind w:firstLine="646"/>
        <w:jc w:val="both"/>
        <w:rPr>
          <w:rFonts w:ascii="仿宋_GB2312" w:eastAsia="仿宋_GB2312"/>
          <w:bCs/>
          <w:sz w:val="32"/>
          <w:szCs w:val="32"/>
        </w:rPr>
      </w:pPr>
      <w:r>
        <w:rPr>
          <w:rFonts w:hint="eastAsia" w:ascii="仿宋_GB2312" w:eastAsia="仿宋_GB2312"/>
          <w:sz w:val="32"/>
          <w:szCs w:val="32"/>
        </w:rPr>
        <w:t>提升城区规划建设水平，打造高水平东部中心。</w:t>
      </w:r>
      <w:r>
        <w:rPr>
          <w:rFonts w:hint="eastAsia" w:ascii="仿宋_GB2312" w:hAnsi="仿宋_GB2312" w:eastAsia="仿宋_GB2312" w:cs="仿宋_GB2312"/>
          <w:sz w:val="32"/>
          <w:szCs w:val="32"/>
        </w:rPr>
        <w:t>一</w:t>
      </w:r>
      <w:r>
        <w:rPr>
          <w:rFonts w:hint="eastAsia" w:ascii="仿宋_GB2312" w:eastAsia="仿宋_GB2312"/>
          <w:b/>
          <w:sz w:val="32"/>
          <w:szCs w:val="32"/>
        </w:rPr>
        <w:t>是</w:t>
      </w:r>
      <w:r>
        <w:rPr>
          <w:rFonts w:hint="eastAsia" w:ascii="仿宋_GB2312" w:eastAsia="仿宋_GB2312"/>
          <w:bCs/>
          <w:sz w:val="32"/>
          <w:szCs w:val="32"/>
        </w:rPr>
        <w:t>出台产城融合示范区建设行动计划（2019-2023年），构建全区-街道-基本单元产城融合建设体系，率先在“4+9”重点区域实践产城融合理念。形成龙岗区分区规划前期成果。实现全区公共基础设施“一张图”全覆盖，为后续建设绘就了规划图。完成了坂雪岗科技城、大运新城及龙岗河“一河两岸”城市设计。二</w:t>
      </w:r>
      <w:r>
        <w:rPr>
          <w:rFonts w:hint="eastAsia" w:ascii="仿宋_GB2312" w:eastAsia="仿宋_GB2312"/>
          <w:b/>
          <w:sz w:val="32"/>
          <w:szCs w:val="32"/>
        </w:rPr>
        <w:t>是</w:t>
      </w:r>
      <w:r>
        <w:rPr>
          <w:rFonts w:hint="eastAsia" w:ascii="仿宋_GB2312" w:eastAsia="仿宋_GB2312"/>
          <w:bCs/>
          <w:sz w:val="32"/>
          <w:szCs w:val="32"/>
        </w:rPr>
        <w:t>加快建设交通设施。加快推动轨道10、14、16号线建设，成功将3号线东延段、16号线南延段纳入全市轨道交通四期修编计划。完成了大运枢纽、平湖枢纽等重点站点TOD综合开发策略研究。深圳外环高速公路、东部过境通道建设有序推进。打通10条断头路，次干道及以上路网密度达2.</w:t>
      </w:r>
      <w:r>
        <w:rPr>
          <w:rFonts w:hint="eastAsia" w:ascii="仿宋_GB2312" w:eastAsia="仿宋_GB2312"/>
          <w:bCs/>
          <w:sz w:val="32"/>
          <w:szCs w:val="32"/>
          <w:lang w:val="en-US" w:eastAsia="zh-CN"/>
        </w:rPr>
        <w:t>90</w:t>
      </w:r>
      <w:r>
        <w:rPr>
          <w:rFonts w:hint="eastAsia" w:ascii="仿宋_GB2312" w:eastAsia="仿宋_GB2312"/>
          <w:bCs/>
          <w:sz w:val="32"/>
          <w:szCs w:val="32"/>
        </w:rPr>
        <w:t>公里/平方公里。优化调整公交线路53条，500米公交站点覆盖率达95.5%。</w:t>
      </w:r>
      <w:r>
        <w:rPr>
          <w:rFonts w:hint="eastAsia" w:ascii="仿宋_GB2312" w:eastAsia="仿宋_GB2312"/>
          <w:b/>
          <w:sz w:val="32"/>
          <w:szCs w:val="32"/>
        </w:rPr>
        <w:t>三是</w:t>
      </w:r>
      <w:r>
        <w:rPr>
          <w:rFonts w:hint="eastAsia" w:ascii="仿宋_GB2312" w:eastAsia="仿宋_GB2312"/>
          <w:bCs/>
          <w:sz w:val="32"/>
          <w:szCs w:val="32"/>
        </w:rPr>
        <w:t>城市更新配套功能逐步落实。贡献公共设施用地54.39公顷。配建了6所中小学、8所幼儿园，提供11684套保障性住房。</w:t>
      </w:r>
    </w:p>
    <w:p>
      <w:pPr>
        <w:pStyle w:val="5"/>
        <w:spacing w:line="560" w:lineRule="exact"/>
        <w:ind w:firstLine="646"/>
        <w:rPr>
          <w:rFonts w:ascii="楷体_GB2312" w:hAnsi="楷体" w:eastAsia="楷体_GB2312"/>
          <w:b w:val="0"/>
        </w:rPr>
      </w:pPr>
      <w:r>
        <w:rPr>
          <w:rFonts w:hint="eastAsia" w:ascii="楷体_GB2312" w:hAnsi="楷体" w:eastAsia="楷体_GB2312"/>
          <w:b w:val="0"/>
        </w:rPr>
        <w:t>（六）民生事业再上台阶，服务水平持续提高</w:t>
      </w:r>
    </w:p>
    <w:p>
      <w:pPr>
        <w:spacing w:line="560" w:lineRule="exact"/>
        <w:ind w:firstLine="646" w:firstLineChars="200"/>
        <w:rPr>
          <w:rFonts w:ascii="仿宋_GB2312" w:hAnsi="仿宋" w:eastAsia="仿宋_GB2312" w:cs="仿宋"/>
          <w:bCs/>
          <w:sz w:val="32"/>
          <w:szCs w:val="32"/>
        </w:rPr>
      </w:pPr>
      <w:r>
        <w:rPr>
          <w:rFonts w:hint="eastAsia" w:ascii="仿宋_GB2312" w:hAnsi="仿宋" w:eastAsia="仿宋_GB2312" w:cs="仿宋"/>
          <w:bCs/>
          <w:sz w:val="32"/>
          <w:szCs w:val="32"/>
        </w:rPr>
        <w:t>坚持优先保障民生，提升人民群众的获得感、幸福感。</w:t>
      </w:r>
      <w:r>
        <w:rPr>
          <w:rFonts w:hint="eastAsia" w:ascii="仿宋_GB2312" w:hAnsi="仿宋" w:eastAsia="仿宋_GB2312" w:cs="仿宋"/>
          <w:b/>
          <w:sz w:val="32"/>
          <w:szCs w:val="32"/>
        </w:rPr>
        <w:t>一是</w:t>
      </w:r>
      <w:r>
        <w:rPr>
          <w:rFonts w:hint="eastAsia" w:ascii="仿宋_GB2312" w:hAnsi="仿宋" w:eastAsia="仿宋_GB2312" w:cs="仿宋"/>
          <w:bCs/>
          <w:sz w:val="32"/>
          <w:szCs w:val="32"/>
        </w:rPr>
        <w:t>教育发展成效显著。出台龙岗区学前教育发展行动计划，新增公办园12所、民办园6所，增加幼儿园学位6060个（公办园4050个、民办园2100个）。按照《龙岗区义务教育学校建设标准提升指引》，高标准新建、改扩建中小学6所，新增义务教育学位1.05万个。龙岗区外国语学校集团挂牌成立，深圳科学高中拜仁足球学校启动建设，深圳外国语学校（龙岗）国际部永久校区主体已封顶，上海外国语大学附属龙岗学校开始招生。</w:t>
      </w:r>
      <w:r>
        <w:rPr>
          <w:rFonts w:hint="eastAsia" w:ascii="仿宋_GB2312" w:hAnsi="仿宋" w:eastAsia="仿宋_GB2312" w:cs="仿宋"/>
          <w:b/>
          <w:sz w:val="32"/>
          <w:szCs w:val="32"/>
        </w:rPr>
        <w:t>二是</w:t>
      </w:r>
      <w:r>
        <w:rPr>
          <w:rFonts w:hint="eastAsia" w:ascii="仿宋_GB2312" w:hAnsi="仿宋" w:eastAsia="仿宋_GB2312" w:cs="仿宋"/>
          <w:bCs/>
          <w:sz w:val="32"/>
          <w:szCs w:val="32"/>
        </w:rPr>
        <w:t>卫生健康服务质量不断提高。成功创建国家级妇幼健康优质服务示范区，在全市率先出台区级公立医院建设标准提升指引，促进医疗硬件和服务能力全面升级。市平湖医院完成主体工程施工并试营业，市吉华医院正式开工建设</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推动中心医院外科综合楼、区第三人民医院医技内科楼、妇幼保健院扩建、区第六人民医院二期、市人民医院坂田院区等</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个工程开工建设</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重点保障中心医院名中医馆、人民医院健康管理服务中心大楼、中医院医疗综合大楼、耳鼻咽喉医院迁址重建、区第二人民医院迁址重建工程（布吉罗岗地块）、区</w:t>
      </w:r>
      <w:r>
        <w:rPr>
          <w:rFonts w:hint="eastAsia" w:ascii="仿宋_GB2312" w:hAnsi="仿宋" w:eastAsia="仿宋_GB2312" w:cs="仿宋"/>
          <w:bCs/>
          <w:sz w:val="32"/>
          <w:szCs w:val="32"/>
          <w:lang w:eastAsia="zh-CN"/>
        </w:rPr>
        <w:t>第四</w:t>
      </w:r>
      <w:r>
        <w:rPr>
          <w:rFonts w:hint="eastAsia" w:ascii="仿宋_GB2312" w:hAnsi="仿宋" w:eastAsia="仿宋_GB2312" w:cs="仿宋"/>
          <w:bCs/>
          <w:sz w:val="32"/>
          <w:szCs w:val="32"/>
        </w:rPr>
        <w:t>人民医院改扩建、区慢性病管理中心、中心医院门急诊大楼修缮改造等8个续建项目顺利实施。预计新增1</w:t>
      </w:r>
      <w:r>
        <w:rPr>
          <w:rFonts w:hint="eastAsia" w:ascii="仿宋_GB2312" w:hAnsi="仿宋" w:eastAsia="仿宋_GB2312" w:cs="仿宋"/>
          <w:bCs/>
          <w:sz w:val="32"/>
          <w:szCs w:val="32"/>
          <w:lang w:val="en-US" w:eastAsia="zh-CN"/>
        </w:rPr>
        <w:t>002</w:t>
      </w:r>
      <w:r>
        <w:rPr>
          <w:rFonts w:hint="eastAsia" w:ascii="仿宋_GB2312" w:hAnsi="仿宋" w:eastAsia="仿宋_GB2312" w:cs="仿宋"/>
          <w:bCs/>
          <w:sz w:val="32"/>
          <w:szCs w:val="32"/>
        </w:rPr>
        <w:t>张床位</w:t>
      </w:r>
      <w:r>
        <w:rPr>
          <w:rFonts w:hint="eastAsia" w:ascii="仿宋_GB2312" w:hAnsi="仿宋" w:eastAsia="仿宋_GB2312" w:cs="仿宋"/>
          <w:bCs/>
          <w:sz w:val="32"/>
          <w:szCs w:val="32"/>
          <w:lang w:eastAsia="zh-CN"/>
        </w:rPr>
        <w:t>，占全市近3成</w:t>
      </w:r>
      <w:r>
        <w:rPr>
          <w:rFonts w:hint="eastAsia" w:ascii="仿宋_GB2312" w:hAnsi="仿宋" w:eastAsia="仿宋_GB2312" w:cs="仿宋"/>
          <w:bCs/>
          <w:sz w:val="32"/>
          <w:szCs w:val="32"/>
        </w:rPr>
        <w:t>。全年新增社康中心12家，千人医师数达2.95人，千人床位数达4.15张。</w:t>
      </w:r>
      <w:r>
        <w:rPr>
          <w:rFonts w:hint="eastAsia" w:ascii="仿宋_GB2312" w:hAnsi="仿宋" w:eastAsia="仿宋_GB2312" w:cs="仿宋"/>
          <w:b/>
          <w:sz w:val="32"/>
          <w:szCs w:val="32"/>
        </w:rPr>
        <w:t>三是</w:t>
      </w:r>
      <w:r>
        <w:rPr>
          <w:rFonts w:hint="eastAsia" w:ascii="仿宋_GB2312" w:hAnsi="仿宋" w:eastAsia="仿宋_GB2312" w:cs="仿宋"/>
          <w:bCs/>
          <w:sz w:val="32"/>
          <w:szCs w:val="32"/>
        </w:rPr>
        <w:t>文体事业蓬勃发展。成功创建广东省体育产业示范基地，举办了中超联赛、花滑锦标赛等高端赛事。坂田国际艺术中心纳入市级重大文体设施规划、大运中心配套设施建设项目完成方案设计，推进布吉、宝龙、横岗、园山文体中心规划建设，完成86处小型文体设施建设。</w:t>
      </w:r>
      <w:r>
        <w:rPr>
          <w:rFonts w:hint="eastAsia" w:ascii="仿宋_GB2312" w:hAnsi="仿宋_GB2312" w:eastAsia="仿宋_GB2312" w:cs="仿宋_GB2312"/>
          <w:b/>
          <w:sz w:val="32"/>
          <w:szCs w:val="32"/>
        </w:rPr>
        <w:t>四是</w:t>
      </w:r>
      <w:r>
        <w:rPr>
          <w:rFonts w:hint="eastAsia" w:ascii="仿宋_GB2312" w:hAnsi="仿宋_GB2312" w:eastAsia="仿宋_GB2312" w:cs="仿宋_GB2312"/>
          <w:bCs/>
          <w:sz w:val="32"/>
          <w:szCs w:val="32"/>
        </w:rPr>
        <w:t>妇儿养老服务水平稳步提升。区外国语学校建成全市首个“儿童友好学校”，出台了社区“夕阳红”都市养老模式管理办法和服务清单，建成56家都市养老服务中心，养老床位达到1489张。</w:t>
      </w:r>
      <w:r>
        <w:rPr>
          <w:rFonts w:hint="eastAsia" w:ascii="仿宋_GB2312" w:hAnsi="仿宋" w:eastAsia="仿宋_GB2312" w:cs="仿宋"/>
          <w:b/>
          <w:sz w:val="32"/>
          <w:szCs w:val="32"/>
        </w:rPr>
        <w:t>五是</w:t>
      </w:r>
      <w:r>
        <w:rPr>
          <w:rFonts w:hint="eastAsia" w:ascii="仿宋_GB2312" w:hAnsi="仿宋" w:eastAsia="仿宋_GB2312" w:cs="仿宋"/>
          <w:bCs/>
          <w:sz w:val="32"/>
          <w:szCs w:val="32"/>
        </w:rPr>
        <w:t>就业服务质量持续提高。依托深圳东部大学生创业中心为我区大学生提供“全方位、全要素、全链条”的就业创业服务。全年新增就业1.8万人，保持零就业家庭动态归零。供应人才住房和保障性住房4000套。</w:t>
      </w:r>
      <w:r>
        <w:rPr>
          <w:rFonts w:hint="eastAsia" w:ascii="仿宋_GB2312" w:hAnsi="仿宋" w:eastAsia="仿宋_GB2312" w:cs="仿宋"/>
          <w:b/>
          <w:sz w:val="32"/>
          <w:szCs w:val="32"/>
        </w:rPr>
        <w:t>六是</w:t>
      </w:r>
      <w:r>
        <w:rPr>
          <w:rFonts w:hint="eastAsia" w:ascii="仿宋_GB2312" w:hAnsi="仿宋" w:eastAsia="仿宋_GB2312" w:cs="仿宋"/>
          <w:bCs/>
          <w:sz w:val="32"/>
          <w:szCs w:val="32"/>
        </w:rPr>
        <w:t>智慧城市建设扎实开展。成功创建全市首个广东省大数据综合试验区，将为珠江三角洲国家大数据综合试验区建设探索路径、积累经验。统筹推进智慧龙岗2.0建设，审议通过《智慧龙岗2.0建设实施方案》，规划建设44个信息化项目。</w:t>
      </w:r>
    </w:p>
    <w:p>
      <w:pPr>
        <w:spacing w:line="560" w:lineRule="exact"/>
        <w:ind w:firstLine="646" w:firstLineChars="200"/>
        <w:rPr>
          <w:rFonts w:ascii="楷体_GB2312" w:hAnsi="楷体" w:eastAsia="楷体_GB2312"/>
          <w:sz w:val="32"/>
          <w:szCs w:val="32"/>
        </w:rPr>
      </w:pPr>
      <w:r>
        <w:rPr>
          <w:rFonts w:hint="eastAsia" w:ascii="楷体_GB2312" w:hAnsi="楷体" w:eastAsia="楷体_GB2312"/>
          <w:sz w:val="32"/>
          <w:szCs w:val="32"/>
        </w:rPr>
        <w:t>（七）综合整治力度加大，生态环境明显改善</w:t>
      </w:r>
    </w:p>
    <w:p>
      <w:pPr>
        <w:spacing w:line="560" w:lineRule="exact"/>
        <w:ind w:firstLine="646"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践行绿色发展理念，全面推进垃圾分类、大气综合整治和水污染治理“大决战”，建设美丽龙岗。</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垃圾分类工作逐步推进。生活垃圾九大分流分类体系日趋完善，在全区438个有物业的花园小区推行“集中分类投放+定时定点督导”工作，全区城市生活垃圾资源化利用率达到30.67%。</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大气环境整治精准施策。开展了32家省重点、26家市重点挥发性有机物企业综合整治。全区PM2.5浓度25.2微克/立方米，空气质量优良率96.7%。</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水污染治理重拳出击。攻克时间紧、任务重、难度大的问题，小区正本清源改造2210个，河道整治</w:t>
      </w:r>
      <w:r>
        <w:rPr>
          <w:rFonts w:hint="eastAsia" w:ascii="仿宋_GB2312" w:hAnsi="仿宋_GB2312" w:eastAsia="仿宋_GB2312" w:cs="仿宋_GB2312"/>
          <w:bCs/>
          <w:sz w:val="32"/>
          <w:szCs w:val="32"/>
          <w:lang w:val="en-US" w:eastAsia="zh-CN"/>
        </w:rPr>
        <w:t>44</w:t>
      </w:r>
      <w:r>
        <w:rPr>
          <w:rFonts w:hint="eastAsia" w:ascii="仿宋_GB2312" w:hAnsi="仿宋_GB2312" w:eastAsia="仿宋_GB2312" w:cs="仿宋_GB2312"/>
          <w:bCs/>
          <w:sz w:val="32"/>
          <w:szCs w:val="32"/>
        </w:rPr>
        <w:t>公里，小微黑臭水体整治780个，新建雨污分流管网215公里，完成整治数量和长度全市第一。</w:t>
      </w:r>
      <w:r>
        <w:rPr>
          <w:rFonts w:hint="eastAsia" w:ascii="仿宋_GB2312" w:hAnsi="仿宋_GB2312" w:eastAsia="仿宋_GB2312" w:cs="仿宋_GB2312"/>
          <w:b/>
          <w:sz w:val="32"/>
          <w:szCs w:val="32"/>
        </w:rPr>
        <w:t>四是</w:t>
      </w:r>
      <w:r>
        <w:rPr>
          <w:rFonts w:hint="eastAsia" w:ascii="仿宋_GB2312" w:hAnsi="仿宋_GB2312" w:eastAsia="仿宋_GB2312" w:cs="仿宋_GB2312"/>
          <w:bCs/>
          <w:sz w:val="32"/>
          <w:szCs w:val="32"/>
        </w:rPr>
        <w:t>公园绿道建设扎实推进。龙城公园8公里环山绿道投入使用，坂田、南湾等绿道设施建设工程开工建设。完成新建、改造10个社区公园。建成了平湖凤凰山国家矿山公园二期，坂田雪象体育公园完成形象进度40%，布吉水质净化厂上盖公园建设进场施工。</w:t>
      </w:r>
      <w:r>
        <w:rPr>
          <w:rFonts w:hint="eastAsia" w:ascii="仿宋_GB2312" w:hAnsi="仿宋_GB2312" w:eastAsia="仿宋_GB2312" w:cs="仿宋_GB2312"/>
          <w:b/>
          <w:sz w:val="32"/>
          <w:szCs w:val="32"/>
        </w:rPr>
        <w:t>五是</w:t>
      </w:r>
      <w:r>
        <w:rPr>
          <w:rFonts w:hint="eastAsia" w:ascii="仿宋_GB2312" w:hAnsi="仿宋_GB2312" w:eastAsia="仿宋_GB2312" w:cs="仿宋_GB2312"/>
          <w:bCs/>
          <w:sz w:val="32"/>
          <w:szCs w:val="32"/>
        </w:rPr>
        <w:t>绿色循环发展成效明显。李朗国际珠宝产业园获批省级工业园区循环化改造示范园。全区建筑废弃物再生处理能力达到600万吨。新建民用建筑100%执行绿色建筑标准。</w:t>
      </w:r>
    </w:p>
    <w:p>
      <w:pPr>
        <w:pStyle w:val="5"/>
        <w:spacing w:line="560" w:lineRule="exact"/>
        <w:ind w:firstLine="646"/>
        <w:rPr>
          <w:rFonts w:ascii="楷体_GB2312" w:hAnsi="楷体" w:eastAsia="楷体_GB2312"/>
          <w:b w:val="0"/>
        </w:rPr>
      </w:pPr>
      <w:r>
        <w:rPr>
          <w:rFonts w:hint="eastAsia" w:ascii="楷体_GB2312" w:hAnsi="楷体" w:eastAsia="楷体_GB2312"/>
          <w:b w:val="0"/>
        </w:rPr>
        <w:t>（八）城市安全保障有力，社会大局和谐稳定</w:t>
      </w:r>
    </w:p>
    <w:p>
      <w:pPr>
        <w:spacing w:line="560" w:lineRule="exact"/>
        <w:ind w:firstLine="646" w:firstLineChars="200"/>
        <w:rPr>
          <w:rFonts w:ascii="仿宋_GB2312" w:hAnsi="仿宋_GB2312" w:eastAsia="仿宋_GB2312" w:cs="仿宋_GB2312"/>
          <w:bCs/>
          <w:snapToGrid w:val="0"/>
          <w:sz w:val="32"/>
          <w:szCs w:val="32"/>
        </w:rPr>
      </w:pPr>
      <w:r>
        <w:rPr>
          <w:rFonts w:hint="eastAsia" w:ascii="仿宋_GB2312" w:hAnsi="仿宋" w:eastAsia="仿宋_GB2312" w:cs="仿宋"/>
          <w:bCs/>
          <w:sz w:val="32"/>
          <w:szCs w:val="32"/>
        </w:rPr>
        <w:t>强化安全生产监管，维护社会和谐稳定，提升社会治理现代化水平。</w:t>
      </w:r>
      <w:r>
        <w:rPr>
          <w:rFonts w:hint="eastAsia" w:ascii="仿宋_GB2312" w:hAnsi="仿宋_GB2312" w:eastAsia="仿宋_GB2312" w:cs="仿宋_GB2312"/>
          <w:bCs/>
          <w:sz w:val="32"/>
          <w:szCs w:val="32"/>
        </w:rPr>
        <w:t>一</w:t>
      </w:r>
      <w:r>
        <w:rPr>
          <w:rFonts w:hint="eastAsia" w:ascii="仿宋_GB2312" w:hAnsi="仿宋_GB2312" w:eastAsia="仿宋_GB2312" w:cs="仿宋_GB2312"/>
          <w:b/>
          <w:snapToGrid w:val="0"/>
          <w:sz w:val="32"/>
          <w:szCs w:val="32"/>
        </w:rPr>
        <w:t>是</w:t>
      </w:r>
      <w:r>
        <w:rPr>
          <w:rFonts w:hint="eastAsia" w:ascii="仿宋_GB2312" w:hAnsi="仿宋_GB2312" w:eastAsia="仿宋_GB2312" w:cs="仿宋_GB2312"/>
          <w:bCs/>
          <w:snapToGrid w:val="0"/>
          <w:sz w:val="32"/>
          <w:szCs w:val="32"/>
        </w:rPr>
        <w:t>筑牢安全生产防线。深入开展危险化学品、锂电池、粉尘涉爆等行业安全隐患排查和专项整治工作，</w:t>
      </w:r>
      <w:r>
        <w:rPr>
          <w:rFonts w:hint="eastAsia" w:ascii="仿宋_GB2312" w:hAnsi="仿宋_GB2312" w:eastAsia="仿宋_GB2312" w:cs="仿宋_GB2312"/>
          <w:color w:val="000000"/>
          <w:sz w:val="32"/>
          <w:szCs w:val="32"/>
        </w:rPr>
        <w:t>实施工业园区安全整治与提升行动方案，检查粉尘涉爆企业560家（次），排查锂电池企业206家（次）。</w:t>
      </w:r>
      <w:r>
        <w:rPr>
          <w:rFonts w:hint="eastAsia" w:ascii="仿宋_GB2312" w:hAnsi="仿宋_GB2312" w:eastAsia="仿宋_GB2312" w:cs="仿宋_GB2312"/>
          <w:b/>
          <w:snapToGrid w:val="0"/>
          <w:sz w:val="32"/>
          <w:szCs w:val="32"/>
        </w:rPr>
        <w:t>二是</w:t>
      </w:r>
      <w:r>
        <w:rPr>
          <w:rFonts w:hint="eastAsia" w:ascii="仿宋_GB2312" w:hAnsi="仿宋_GB2312" w:eastAsia="仿宋_GB2312" w:cs="仿宋_GB2312"/>
          <w:bCs/>
          <w:snapToGrid w:val="0"/>
          <w:sz w:val="32"/>
          <w:szCs w:val="32"/>
        </w:rPr>
        <w:t>社会治安综合治理能力持续加强。</w:t>
      </w:r>
      <w:r>
        <w:rPr>
          <w:rFonts w:hint="eastAsia" w:ascii="仿宋_GB2312" w:hAnsi="仿宋_GB2312" w:eastAsia="仿宋_GB2312" w:cs="仿宋_GB2312"/>
          <w:snapToGrid w:val="0"/>
          <w:sz w:val="32"/>
          <w:szCs w:val="32"/>
        </w:rPr>
        <w:t>有序推进了“雪亮工程”、新型视频门禁建设，全年八类暴力案件少于189宗。</w:t>
      </w:r>
      <w:r>
        <w:rPr>
          <w:rFonts w:hint="eastAsia" w:ascii="仿宋_GB2312" w:hAnsi="仿宋_GB2312" w:eastAsia="仿宋_GB2312" w:cs="仿宋_GB2312"/>
          <w:b/>
          <w:snapToGrid w:val="0"/>
          <w:sz w:val="32"/>
          <w:szCs w:val="32"/>
        </w:rPr>
        <w:t>三是</w:t>
      </w:r>
      <w:r>
        <w:rPr>
          <w:rFonts w:hint="eastAsia" w:ascii="仿宋_GB2312" w:hAnsi="仿宋_GB2312" w:eastAsia="仿宋_GB2312" w:cs="仿宋_GB2312"/>
          <w:snapToGrid w:val="0"/>
          <w:sz w:val="32"/>
          <w:szCs w:val="32"/>
        </w:rPr>
        <w:t>国家食品安全示范城市创建扎实推进。</w:t>
      </w:r>
      <w:r>
        <w:rPr>
          <w:rFonts w:hint="eastAsia" w:ascii="仿宋_GB2312" w:hAnsi="仿宋_GB2312" w:eastAsia="仿宋_GB2312" w:cs="仿宋_GB2312"/>
          <w:bCs/>
          <w:snapToGrid w:val="0"/>
          <w:sz w:val="32"/>
          <w:szCs w:val="32"/>
        </w:rPr>
        <w:t>强化校园及周边、“城中村”等重点领域食品安全综合整治，食品生产、流通、餐饮抽检合格率99.06%。全区2351家200平方米以上餐饮单位实现“互联网+明厨亮灶”。</w:t>
      </w:r>
      <w:r>
        <w:rPr>
          <w:rFonts w:hint="eastAsia" w:ascii="仿宋_GB2312" w:hAnsi="仿宋_GB2312" w:eastAsia="仿宋_GB2312" w:cs="仿宋_GB2312"/>
          <w:b/>
          <w:snapToGrid w:val="0"/>
          <w:sz w:val="32"/>
          <w:szCs w:val="32"/>
        </w:rPr>
        <w:t>四是</w:t>
      </w:r>
      <w:r>
        <w:rPr>
          <w:rFonts w:hint="eastAsia" w:ascii="仿宋_GB2312" w:hAnsi="仿宋_GB2312" w:eastAsia="仿宋_GB2312" w:cs="仿宋_GB2312"/>
          <w:bCs/>
          <w:snapToGrid w:val="0"/>
          <w:sz w:val="32"/>
          <w:szCs w:val="32"/>
        </w:rPr>
        <w:t>拆除消化违建再创新高。</w:t>
      </w:r>
      <w:r>
        <w:rPr>
          <w:rFonts w:hint="eastAsia" w:ascii="仿宋_GB2312" w:hAnsi="仿宋_GB2312" w:eastAsia="仿宋_GB2312" w:cs="仿宋_GB2312"/>
          <w:snapToGrid w:val="0"/>
          <w:sz w:val="32"/>
          <w:szCs w:val="32"/>
        </w:rPr>
        <w:t>在</w:t>
      </w:r>
      <w:r>
        <w:rPr>
          <w:rFonts w:hint="eastAsia" w:ascii="仿宋_GB2312" w:hAnsi="仿宋_GB2312" w:eastAsia="仿宋_GB2312" w:cs="仿宋_GB2312"/>
          <w:sz w:val="32"/>
          <w:szCs w:val="32"/>
        </w:rPr>
        <w:t>全市率先启动烂尾楼项目处置工作，拆除悬置10年的坂田街道“最牛农民房”。综合运用多种手段，</w:t>
      </w:r>
      <w:r>
        <w:rPr>
          <w:rFonts w:hint="eastAsia" w:ascii="仿宋_GB2312" w:hAnsi="仿宋_GB2312" w:eastAsia="仿宋_GB2312" w:cs="仿宋_GB2312"/>
          <w:bCs/>
          <w:snapToGrid w:val="0"/>
          <w:sz w:val="32"/>
          <w:szCs w:val="32"/>
        </w:rPr>
        <w:t>拆除消化违建635.36万平方米，提前超额完成全年任务。</w:t>
      </w:r>
      <w:r>
        <w:rPr>
          <w:rFonts w:hint="eastAsia" w:ascii="仿宋_GB2312" w:hAnsi="仿宋_GB2312" w:eastAsia="仿宋_GB2312" w:cs="仿宋_GB2312"/>
          <w:b/>
          <w:snapToGrid w:val="0"/>
          <w:sz w:val="32"/>
          <w:szCs w:val="32"/>
        </w:rPr>
        <w:t>五是</w:t>
      </w:r>
      <w:r>
        <w:rPr>
          <w:rFonts w:hint="eastAsia" w:ascii="仿宋_GB2312" w:hAnsi="仿宋_GB2312" w:eastAsia="仿宋_GB2312" w:cs="仿宋_GB2312"/>
          <w:bCs/>
          <w:snapToGrid w:val="0"/>
          <w:sz w:val="32"/>
          <w:szCs w:val="32"/>
        </w:rPr>
        <w:t>城市环境综合整治取得突出成效。分门别类完成年度213个城中村综合整治任务，打造31个“优秀村”。全面完成462座公厕和106座垃圾转运站升级改造工作。</w:t>
      </w:r>
      <w:r>
        <w:rPr>
          <w:rFonts w:hint="eastAsia" w:ascii="仿宋_GB2312" w:hAnsi="仿宋_GB2312" w:eastAsia="仿宋_GB2312" w:cs="仿宋_GB2312"/>
          <w:b/>
          <w:snapToGrid w:val="0"/>
          <w:sz w:val="32"/>
          <w:szCs w:val="32"/>
        </w:rPr>
        <w:t>六是</w:t>
      </w:r>
      <w:r>
        <w:rPr>
          <w:rFonts w:hint="eastAsia" w:ascii="仿宋_GB2312" w:hAnsi="仿宋_GB2312" w:eastAsia="仿宋_GB2312" w:cs="仿宋_GB2312"/>
          <w:bCs/>
          <w:snapToGrid w:val="0"/>
          <w:sz w:val="32"/>
          <w:szCs w:val="32"/>
        </w:rPr>
        <w:t>深入开展城市安全隐患治理工作。大力开展道路安全隐患整治，整改各类交通安全常态隐患5932处、锐角相交路口隐患85个、斑马线隐患372处。开展高空坠物安全防范专场培训，督促物业加强巡查。</w:t>
      </w:r>
    </w:p>
    <w:p>
      <w:pPr>
        <w:snapToGrid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在肯定发展成效的同时，必须清醒地认识到我区国民经济和社会发展中还存在一些问题，与高质量发展的要求、与先行示范区排头兵的目标相比还有不少差距：</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创新驱动引领仍然动能不足，高端创新要素总量还不多，国家级重大科技基础设施还未实现零的突破。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企业结构仍有待优化，产值在十亿、百亿级的骨干企业明显偏少，缺乏大量的中坚企业作为后备力量。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规模以上其他服务业整体增长乏力，还存在较大提升空间。</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平衡性协调性矛盾比较突出，产业布局不协调，功能配套不平衡。</w:t>
      </w:r>
    </w:p>
    <w:p>
      <w:pPr>
        <w:pStyle w:val="4"/>
        <w:spacing w:line="560" w:lineRule="exact"/>
        <w:ind w:firstLine="646" w:firstLineChars="200"/>
        <w:rPr>
          <w:rFonts w:ascii="黑体" w:eastAsia="黑体"/>
          <w:b w:val="0"/>
          <w:kern w:val="2"/>
          <w:sz w:val="32"/>
          <w:szCs w:val="32"/>
        </w:rPr>
      </w:pPr>
      <w:r>
        <w:rPr>
          <w:rFonts w:hint="eastAsia" w:ascii="黑体" w:eastAsia="黑体"/>
          <w:b w:val="0"/>
          <w:kern w:val="2"/>
          <w:sz w:val="32"/>
          <w:szCs w:val="32"/>
        </w:rPr>
        <w:t>三、环境面：外部环境复杂，内部态势基本稳定</w:t>
      </w:r>
    </w:p>
    <w:p>
      <w:pPr>
        <w:pStyle w:val="18"/>
        <w:ind w:firstLine="649"/>
        <w:rPr>
          <w:rFonts w:hAnsi="仿宋"/>
        </w:rPr>
      </w:pPr>
      <w:r>
        <w:rPr>
          <w:rFonts w:hint="eastAsia" w:hAnsi="仿宋"/>
        </w:rPr>
        <w:t>1.不利因素</w:t>
      </w:r>
    </w:p>
    <w:p>
      <w:pPr>
        <w:pStyle w:val="18"/>
        <w:ind w:firstLine="649"/>
        <w:rPr>
          <w:rFonts w:hAnsi="仿宋"/>
          <w:b w:val="0"/>
          <w:bCs/>
        </w:rPr>
      </w:pPr>
      <w:r>
        <w:rPr>
          <w:rFonts w:hint="eastAsia" w:hAnsi="仿宋"/>
        </w:rPr>
        <w:t>从国际看，</w:t>
      </w:r>
      <w:r>
        <w:rPr>
          <w:rFonts w:hint="eastAsia" w:hAnsi="仿宋"/>
          <w:b w:val="0"/>
          <w:bCs/>
        </w:rPr>
        <w:t>全球经济和贸易延续双放缓趋势，外部经济环境进一步趋紧。多家国际机构连续下调全球经济增长预期，中美经贸高级别磋商后续仍存在不确定性。</w:t>
      </w:r>
      <w:r>
        <w:rPr>
          <w:rFonts w:hint="eastAsia" w:hAnsi="仿宋"/>
        </w:rPr>
        <w:t>从全国看，</w:t>
      </w:r>
      <w:r>
        <w:rPr>
          <w:rFonts w:hint="eastAsia" w:hAnsi="仿宋"/>
          <w:b w:val="0"/>
          <w:bCs/>
        </w:rPr>
        <w:t>中国制造业采购经理指数（PMI）连续5个月低于荣枯线（50%），尽管11月份有所回升（50.2%），但仍然存在需求走弱风险。1-10月制造业投资同比仅增长2.6%，实体经济仍然面临不少困难。</w:t>
      </w:r>
      <w:r>
        <w:rPr>
          <w:rFonts w:hint="eastAsia" w:hAnsi="仿宋"/>
        </w:rPr>
        <w:t>从省市看，</w:t>
      </w:r>
      <w:r>
        <w:rPr>
          <w:rFonts w:hint="eastAsia" w:hAnsi="仿宋"/>
          <w:b w:val="0"/>
          <w:bCs/>
        </w:rPr>
        <w:t>全省经济存在一定下行压力，1-10月规模以上工业增加值增长4.3%，比上半年下降0.5个百分点。深圳面对的经济下行压力之大近年少有，制造业用电、PPI等侧面指标走势偏弱，保持经济平稳运行的难度明显增大。2020年中美经贸摩擦影响将集中全面体现，叠加房地产周期和世界经济下行周期，形势严峻性将甚于今年。</w:t>
      </w:r>
    </w:p>
    <w:p>
      <w:pPr>
        <w:pStyle w:val="18"/>
        <w:ind w:firstLine="649"/>
        <w:rPr>
          <w:rFonts w:hAnsi="仿宋"/>
        </w:rPr>
      </w:pPr>
      <w:r>
        <w:rPr>
          <w:rFonts w:hint="eastAsia" w:hAnsi="仿宋"/>
        </w:rPr>
        <w:t>2.有利因素</w:t>
      </w:r>
    </w:p>
    <w:p>
      <w:pPr>
        <w:pStyle w:val="18"/>
        <w:ind w:firstLine="649"/>
        <w:rPr>
          <w:rFonts w:hAnsi="仿宋"/>
          <w:b w:val="0"/>
          <w:bCs/>
        </w:rPr>
      </w:pPr>
      <w:r>
        <w:rPr>
          <w:rFonts w:hint="eastAsia" w:hAnsi="仿宋"/>
        </w:rPr>
        <w:t>从全国看，</w:t>
      </w:r>
      <w:r>
        <w:rPr>
          <w:rFonts w:hint="eastAsia" w:hAnsi="仿宋"/>
          <w:b w:val="0"/>
          <w:bCs/>
        </w:rPr>
        <w:t>中央及时出台了一系列逆周期调节政策，较好顶住了经济下行压力，前三季度国民经济运行总体平稳，增速在全球主要经济体中仍然名列前茅。经济稳健增长的支撑因素比较多，包括服务业和消费对经济的支撑能力都在不断加强，内需对经济的拉动作用进一步显现。</w:t>
      </w:r>
      <w:r>
        <w:rPr>
          <w:rFonts w:hint="eastAsia" w:hAnsi="仿宋"/>
        </w:rPr>
        <w:t>从省市看，</w:t>
      </w:r>
      <w:r>
        <w:rPr>
          <w:rFonts w:hint="eastAsia" w:hAnsi="仿宋"/>
          <w:b w:val="0"/>
          <w:bCs/>
        </w:rPr>
        <w:t>全省经济运行整体平稳。1-10月社会消费品零售总额、固定资产投资增速与前三季度持平，均好于上半年。全市经济增长动力势头良好，稳定增长仍然可期。</w:t>
      </w:r>
    </w:p>
    <w:p>
      <w:pPr>
        <w:snapToGrid w:val="0"/>
        <w:spacing w:line="560" w:lineRule="exact"/>
        <w:ind w:firstLine="646" w:firstLineChars="200"/>
        <w:rPr>
          <w:rFonts w:ascii="楷体_GB2312" w:hAnsi="楷体" w:eastAsia="楷体_GB2312"/>
          <w:sz w:val="32"/>
          <w:szCs w:val="32"/>
        </w:rPr>
      </w:pPr>
      <w:r>
        <w:rPr>
          <w:rFonts w:hint="eastAsia" w:ascii="黑体" w:eastAsia="黑体"/>
          <w:sz w:val="32"/>
          <w:szCs w:val="32"/>
          <w:lang w:eastAsia="zh-CN"/>
        </w:rPr>
        <w:t>四</w:t>
      </w:r>
      <w:r>
        <w:rPr>
          <w:rFonts w:hint="eastAsia" w:ascii="黑体" w:eastAsia="黑体"/>
          <w:sz w:val="32"/>
          <w:szCs w:val="32"/>
        </w:rPr>
        <w:t>、着力面：稳中求进，多措并举，努力实现2020年发展目标</w:t>
      </w:r>
    </w:p>
    <w:p>
      <w:pPr>
        <w:snapToGrid w:val="0"/>
        <w:spacing w:line="560" w:lineRule="exact"/>
        <w:ind w:firstLine="646" w:firstLineChars="200"/>
        <w:rPr>
          <w:rFonts w:ascii="楷体_GB2312" w:hAnsi="楷体" w:eastAsia="楷体_GB2312"/>
          <w:sz w:val="32"/>
          <w:szCs w:val="32"/>
        </w:rPr>
      </w:pPr>
      <w:r>
        <w:rPr>
          <w:rFonts w:hint="eastAsia" w:ascii="仿宋_GB2312" w:hAnsi="仿宋_GB2312" w:eastAsia="仿宋_GB2312" w:cs="仿宋_GB2312"/>
          <w:sz w:val="32"/>
          <w:szCs w:val="32"/>
        </w:rPr>
        <w:t>面对风云变幻的外部环境，必须坚持稳中求进工作总基调，保持战略定力，多措并举，戮力同心，不懈奋斗，扎扎实实地做好2020年各项工作，加快形成“五大示范区、四大创新中心、六大产业集群、 十大交通枢纽、十大公共设施、两大特色文化街区”的龙岗勇当先行示范区排头兵的基本格局。</w:t>
      </w:r>
    </w:p>
    <w:p>
      <w:pPr>
        <w:snapToGrid w:val="0"/>
        <w:spacing w:line="560" w:lineRule="exact"/>
        <w:ind w:firstLine="646" w:firstLineChars="200"/>
        <w:rPr>
          <w:rFonts w:ascii="楷体_GB2312" w:hAnsi="楷体" w:eastAsia="楷体_GB2312"/>
          <w:sz w:val="32"/>
          <w:szCs w:val="32"/>
        </w:rPr>
      </w:pPr>
      <w:r>
        <w:rPr>
          <w:rFonts w:hint="eastAsia" w:ascii="楷体_GB2312" w:hAnsi="楷体" w:eastAsia="楷体_GB2312"/>
          <w:sz w:val="32"/>
          <w:szCs w:val="32"/>
        </w:rPr>
        <w:t>（一）全面发力，“双区驱动效应”更加突出</w:t>
      </w:r>
    </w:p>
    <w:p>
      <w:pPr>
        <w:snapToGrid w:val="0"/>
        <w:spacing w:line="560" w:lineRule="exact"/>
        <w:ind w:firstLine="646" w:firstLineChars="200"/>
        <w:rPr>
          <w:rFonts w:ascii="仿宋_GB2312" w:eastAsia="仿宋_GB2312"/>
          <w:sz w:val="32"/>
          <w:szCs w:val="32"/>
        </w:rPr>
      </w:pPr>
      <w:r>
        <w:rPr>
          <w:rFonts w:hint="eastAsia" w:ascii="仿宋_GB2312" w:eastAsia="仿宋_GB2312"/>
          <w:sz w:val="32"/>
          <w:szCs w:val="32"/>
        </w:rPr>
        <w:t>以更加积极</w:t>
      </w:r>
      <w:r>
        <w:rPr>
          <w:rFonts w:hint="eastAsia" w:ascii="仿宋_GB2312" w:hAnsi="仿宋_GB2312" w:eastAsia="仿宋_GB2312" w:cs="仿宋_GB2312"/>
          <w:sz w:val="32"/>
          <w:szCs w:val="32"/>
        </w:rPr>
        <w:t>主动的姿态融入大湾区建设，推动先行示范区建设，高标准编制龙岗区“十四五”规划和专项规划，引领东部中心建设再上新台阶。</w:t>
      </w:r>
    </w:p>
    <w:p>
      <w:pPr>
        <w:snapToGrid w:val="0"/>
        <w:spacing w:line="560" w:lineRule="exact"/>
        <w:ind w:firstLine="646" w:firstLineChars="200"/>
        <w:rPr>
          <w:rFonts w:ascii="仿宋_GB2312" w:eastAsia="仿宋_GB2312"/>
          <w:sz w:val="32"/>
          <w:szCs w:val="32"/>
        </w:rPr>
      </w:pPr>
      <w:r>
        <w:rPr>
          <w:rFonts w:hint="eastAsia" w:ascii="仿宋_GB2312" w:eastAsia="仿宋_GB2312"/>
          <w:b/>
          <w:bCs/>
          <w:sz w:val="32"/>
          <w:szCs w:val="32"/>
        </w:rPr>
        <w:t>1.实施大湾区和先行示范区计划，勇当排头兵。</w:t>
      </w:r>
      <w:r>
        <w:rPr>
          <w:rFonts w:hint="eastAsia" w:ascii="仿宋_GB2312" w:eastAsia="仿宋_GB2312"/>
          <w:sz w:val="32"/>
          <w:szCs w:val="32"/>
        </w:rPr>
        <w:t>深入落实我区大湾区建设三年行动方案、2020年工作要点和勇当先行示范区排头兵六年行动方案、三年行动计划和2020年工作要点，</w:t>
      </w:r>
      <w:r>
        <w:rPr>
          <w:rFonts w:hint="eastAsia" w:ascii="仿宋_GB2312" w:hAnsi="仿宋_GB2312" w:eastAsia="仿宋_GB2312" w:cs="仿宋_GB2312"/>
          <w:sz w:val="32"/>
          <w:szCs w:val="32"/>
        </w:rPr>
        <w:t>力争一批先行示范事项取得应有成果</w:t>
      </w:r>
      <w:r>
        <w:rPr>
          <w:rFonts w:hint="eastAsia" w:ascii="仿宋_GB2312" w:eastAsia="仿宋_GB2312"/>
          <w:sz w:val="32"/>
          <w:szCs w:val="32"/>
        </w:rPr>
        <w:t>。</w:t>
      </w:r>
    </w:p>
    <w:p>
      <w:pPr>
        <w:snapToGrid w:val="0"/>
        <w:spacing w:line="560" w:lineRule="exact"/>
        <w:ind w:firstLine="646" w:firstLineChars="200"/>
        <w:rPr>
          <w:rFonts w:ascii="仿宋_GB2312" w:eastAsia="仿宋_GB2312"/>
          <w:bCs/>
          <w:sz w:val="32"/>
          <w:szCs w:val="32"/>
        </w:rPr>
      </w:pPr>
      <w:r>
        <w:rPr>
          <w:rFonts w:hint="eastAsia" w:ascii="仿宋_GB2312" w:eastAsia="仿宋_GB2312"/>
          <w:b/>
          <w:sz w:val="32"/>
          <w:szCs w:val="32"/>
        </w:rPr>
        <w:t>2.统筹谋划“三个重大”，科学编制“十四五”规划。</w:t>
      </w:r>
      <w:r>
        <w:rPr>
          <w:rFonts w:hint="eastAsia" w:ascii="仿宋_GB2312" w:eastAsia="仿宋_GB2312"/>
          <w:bCs/>
          <w:sz w:val="32"/>
          <w:szCs w:val="32"/>
        </w:rPr>
        <w:t>高标准编制龙岗“十四五”规划纲要和专项规划，精心谋划重大工程项目、重大政策和重大改革举措，为“十四五”时期打造高水平东部中心奠定坚实基础。</w:t>
      </w:r>
    </w:p>
    <w:p>
      <w:pPr>
        <w:snapToGrid w:val="0"/>
        <w:spacing w:line="560" w:lineRule="exact"/>
        <w:ind w:left="426" w:leftChars="200"/>
        <w:rPr>
          <w:rFonts w:ascii="仿宋_GB2312" w:hAnsi="仿宋_GB2312" w:eastAsia="仿宋_GB2312" w:cs="仿宋_GB2312"/>
          <w:sz w:val="32"/>
          <w:szCs w:val="32"/>
        </w:rPr>
      </w:pPr>
      <w:r>
        <w:rPr>
          <w:rFonts w:hint="eastAsia" w:ascii="楷体_GB2312" w:hAnsi="楷体" w:eastAsia="楷体_GB2312"/>
          <w:sz w:val="32"/>
          <w:szCs w:val="32"/>
        </w:rPr>
        <w:t>（二）凝心聚力，产业创新更加活跃</w:t>
      </w:r>
    </w:p>
    <w:p>
      <w:pPr>
        <w:snapToGrid w:val="0"/>
        <w:spacing w:line="560" w:lineRule="exact"/>
        <w:ind w:firstLine="646" w:firstLineChars="200"/>
        <w:rPr>
          <w:rFonts w:ascii="仿宋_GB2312" w:eastAsia="仿宋_GB2312"/>
          <w:sz w:val="32"/>
          <w:szCs w:val="32"/>
        </w:rPr>
      </w:pPr>
      <w:r>
        <w:rPr>
          <w:rFonts w:hint="eastAsia" w:ascii="仿宋_GB2312" w:hAnsi="仿宋_GB2312" w:eastAsia="仿宋_GB2312" w:cs="仿宋_GB2312"/>
          <w:sz w:val="32"/>
          <w:szCs w:val="32"/>
        </w:rPr>
        <w:t>更大力度完善创新体系，</w:t>
      </w:r>
      <w:r>
        <w:rPr>
          <w:rFonts w:hint="eastAsia" w:ascii="仿宋_GB2312" w:eastAsia="仿宋_GB2312"/>
          <w:sz w:val="32"/>
          <w:szCs w:val="32"/>
        </w:rPr>
        <w:t>更高质量促进产业发展，</w:t>
      </w:r>
      <w:r>
        <w:rPr>
          <w:rFonts w:hint="eastAsia" w:ascii="仿宋_GB2312" w:hAnsi="仿宋_GB2312" w:eastAsia="仿宋_GB2312" w:cs="仿宋_GB2312"/>
          <w:sz w:val="32"/>
          <w:szCs w:val="32"/>
        </w:rPr>
        <w:t>更深层次推动改革开放，更大力度建设示范区。</w:t>
      </w:r>
    </w:p>
    <w:p>
      <w:pPr>
        <w:pStyle w:val="6"/>
        <w:ind w:firstLine="649"/>
        <w:rPr>
          <w:rFonts w:ascii="仿宋_GB2312" w:eastAsia="仿宋_GB2312"/>
          <w:sz w:val="32"/>
          <w:szCs w:val="32"/>
        </w:rPr>
      </w:pPr>
      <w:r>
        <w:rPr>
          <w:rFonts w:hint="eastAsia" w:ascii="仿宋_GB2312" w:eastAsia="仿宋_GB2312"/>
          <w:b/>
          <w:bCs/>
          <w:sz w:val="32"/>
          <w:szCs w:val="32"/>
        </w:rPr>
        <w:t>3.实施创新发展路径，集聚高端优质创新资源。</w:t>
      </w:r>
      <w:r>
        <w:rPr>
          <w:rFonts w:hint="eastAsia" w:ascii="仿宋_GB2312" w:eastAsia="仿宋_GB2312"/>
          <w:sz w:val="32"/>
          <w:szCs w:val="32"/>
        </w:rPr>
        <w:t>积极争取国家综合性科学中心分中心等创新资源落地龙岗，吸引重大科技基础设施向龙岗加快集聚。高标准规划建设深圳高新区龙岗园区。加强与香港科技创新合作路径研究，探索构建深港科技合作东部轴线。推进宝龙生物药创新发展先导区建设，高标准开展规划建设方案编制，积极探索先导区基础设施建设、科研设备投入、企业服务管理等体制机制创新。</w:t>
      </w:r>
      <w:r>
        <w:rPr>
          <w:rFonts w:hint="eastAsia"/>
        </w:rPr>
        <w:t>制定龙岗区国家产教融合试验区建设方案，实施引企入教，推行企业新型学徒制，创建国家产教融合试验区。</w:t>
      </w:r>
    </w:p>
    <w:p>
      <w:pPr>
        <w:snapToGrid w:val="0"/>
        <w:spacing w:line="560" w:lineRule="exact"/>
        <w:ind w:firstLine="646" w:firstLineChars="200"/>
        <w:rPr>
          <w:rFonts w:ascii="仿宋_GB2312" w:eastAsia="仿宋_GB2312"/>
          <w:sz w:val="32"/>
          <w:szCs w:val="32"/>
        </w:rPr>
      </w:pPr>
      <w:r>
        <w:rPr>
          <w:rFonts w:hint="eastAsia" w:ascii="仿宋_GB2312" w:eastAsia="仿宋_GB2312"/>
          <w:b/>
          <w:bCs/>
          <w:sz w:val="32"/>
          <w:szCs w:val="32"/>
        </w:rPr>
        <w:t>4.加快创新平台建设，提升原始创新能力。</w:t>
      </w:r>
      <w:r>
        <w:rPr>
          <w:rFonts w:hint="eastAsia" w:ascii="仿宋_GB2312" w:eastAsia="仿宋_GB2312"/>
          <w:sz w:val="32"/>
          <w:szCs w:val="32"/>
        </w:rPr>
        <w:t>争取市更多重大科技基础设施和研究机构落户我区。强化与鹏</w:t>
      </w:r>
      <w:r>
        <w:rPr>
          <w:rFonts w:hint="eastAsia" w:ascii="仿宋_GB2312" w:eastAsia="仿宋_GB2312"/>
          <w:sz w:val="32"/>
          <w:szCs w:val="32"/>
          <w:lang w:eastAsia="zh-CN"/>
        </w:rPr>
        <w:t>城</w:t>
      </w:r>
      <w:r>
        <w:rPr>
          <w:rFonts w:hint="eastAsia" w:ascii="仿宋_GB2312" w:eastAsia="仿宋_GB2312"/>
          <w:sz w:val="32"/>
          <w:szCs w:val="32"/>
        </w:rPr>
        <w:t>实验室合作，积极筹建龙城实验室，提升港中大（深圳)瓦谢尔计算生物研究院等三个诺奖实验室建设水平。推进集成电路测试验证工程技术中心和集成电路设计龙岗服务平台建设运营。创建一批各细分领域龙头企业与高校院所共建共享的新型科研机构。新增新型科研机构2家；新增各类创新平台10家以上，全区创新平台达到200家。</w:t>
      </w:r>
    </w:p>
    <w:p>
      <w:pPr>
        <w:snapToGrid w:val="0"/>
        <w:spacing w:line="560" w:lineRule="exact"/>
        <w:ind w:firstLine="646" w:firstLineChars="200"/>
        <w:rPr>
          <w:rFonts w:ascii="仿宋_GB2312" w:eastAsia="仿宋_GB2312"/>
          <w:sz w:val="32"/>
          <w:szCs w:val="32"/>
        </w:rPr>
      </w:pPr>
      <w:r>
        <w:rPr>
          <w:rFonts w:hint="eastAsia" w:ascii="仿宋_GB2312" w:eastAsia="仿宋_GB2312"/>
          <w:b/>
          <w:bCs/>
          <w:sz w:val="32"/>
          <w:szCs w:val="32"/>
        </w:rPr>
        <w:t>5.加大政策引导力度，壮大国高企业队伍。</w:t>
      </w:r>
      <w:r>
        <w:rPr>
          <w:rFonts w:hint="eastAsia" w:ascii="仿宋_GB2312" w:eastAsia="仿宋_GB2312"/>
          <w:sz w:val="32"/>
          <w:szCs w:val="32"/>
        </w:rPr>
        <w:t>构建平台，完善全区一体化的国高培育服务体系。对重点企业进行紧密跟踪，精准发动，大力实施国高企业梯队培育计划。政策引导，激发企业和创新载体认定国高的动力，全区国高企业达到2500家。</w:t>
      </w:r>
    </w:p>
    <w:p>
      <w:pPr>
        <w:snapToGrid w:val="0"/>
        <w:spacing w:line="560" w:lineRule="exact"/>
        <w:ind w:firstLine="646" w:firstLineChars="200"/>
        <w:rPr>
          <w:rFonts w:ascii="仿宋_GB2312" w:eastAsia="仿宋_GB2312"/>
          <w:sz w:val="32"/>
          <w:szCs w:val="32"/>
        </w:rPr>
      </w:pPr>
      <w:r>
        <w:rPr>
          <w:rFonts w:hint="eastAsia" w:ascii="仿宋_GB2312" w:eastAsia="仿宋_GB2312"/>
          <w:b/>
          <w:bCs/>
          <w:sz w:val="32"/>
          <w:szCs w:val="32"/>
        </w:rPr>
        <w:t>6.强化创新载体建设，引导高端化发展。</w:t>
      </w:r>
      <w:r>
        <w:rPr>
          <w:rFonts w:hint="eastAsia" w:ascii="仿宋_GB2312" w:eastAsia="仿宋_GB2312"/>
          <w:sz w:val="32"/>
          <w:szCs w:val="32"/>
        </w:rPr>
        <w:t>推动创新载体积极参与加速器、产业园建设，完善“优胜劣汰、能进能出”的动态管理机制，提升园区软硬件设施和服务水平。引导优质孵化器申报国家级科技企业孵化器。新增创新产业园3家，孵化器5家。</w:t>
      </w:r>
    </w:p>
    <w:p>
      <w:pPr>
        <w:pStyle w:val="6"/>
        <w:ind w:firstLine="649"/>
        <w:rPr>
          <w:rFonts w:hint="eastAsia"/>
        </w:rPr>
      </w:pPr>
      <w:r>
        <w:rPr>
          <w:rFonts w:hint="eastAsia"/>
          <w:b/>
          <w:bCs/>
        </w:rPr>
        <w:t>7.探索港澳人才市民待遇，优化人才服务。</w:t>
      </w:r>
      <w:r>
        <w:rPr>
          <w:rFonts w:hint="eastAsia"/>
        </w:rPr>
        <w:t>在国际大学园等区域探索港澳人才享受通关、随迁子女教育、医疗等便利政策，探索执业资格资质互认等“市民待遇”具体措施。依托高层次人才服务中心等平台，构建“政务服务+创业服务+生活服务”全环节服务链。深化实施“深龙英才计划”，加强产业链引才和重大项目育才。</w:t>
      </w:r>
    </w:p>
    <w:p>
      <w:pPr>
        <w:snapToGrid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8.优化主导产业布局，加快电子信息产业集聚。</w:t>
      </w:r>
      <w:r>
        <w:rPr>
          <w:rFonts w:hint="eastAsia" w:ascii="仿宋_GB2312" w:hAnsi="仿宋_GB2312" w:eastAsia="仿宋_GB2312" w:cs="仿宋_GB2312"/>
          <w:sz w:val="32"/>
          <w:szCs w:val="32"/>
        </w:rPr>
        <w:t>研究划定制造业保留区，推动产业空间配套协同发展。出台坂雪岗科技城产业空间布局指引，建设世界级电子信息产业集群承载区，在平湖</w:t>
      </w:r>
      <w:r>
        <w:rPr>
          <w:rFonts w:hint="eastAsia" w:ascii="仿宋_GB2312" w:hAnsi="Calibri" w:eastAsia="仿宋_GB2312"/>
          <w:sz w:val="32"/>
          <w:szCs w:val="32"/>
        </w:rPr>
        <w:t>、南湾等</w:t>
      </w:r>
      <w:r>
        <w:rPr>
          <w:rFonts w:hint="eastAsia" w:ascii="仿宋_GB2312" w:hAnsi="仿宋_GB2312" w:eastAsia="仿宋_GB2312" w:cs="仿宋_GB2312"/>
          <w:sz w:val="32"/>
          <w:szCs w:val="32"/>
        </w:rPr>
        <w:t>地规划打造一批信息和通信技术（ICT）、电子元器件等产业集聚基地，加快形成全区电子信息产业分片区集聚格局。研究提出我区5G产业战略定位、发展目标、发展思路及相关产业布局。</w:t>
      </w:r>
    </w:p>
    <w:p>
      <w:pPr>
        <w:snapToGrid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9.优化营商环境，激发经济发展活力。</w:t>
      </w:r>
      <w:r>
        <w:rPr>
          <w:rFonts w:hint="eastAsia" w:ascii="仿宋_GB2312" w:hAnsi="仿宋_GB2312" w:eastAsia="仿宋_GB2312" w:cs="仿宋_GB2312"/>
          <w:sz w:val="32"/>
          <w:szCs w:val="32"/>
        </w:rPr>
        <w:t>出台龙岗区建设体现高质量发展要求的现代化经济体系工作方案。修订支持工业和服务业发展实施细则。继续推进减税降费政策措施，进一步降低实体经济成本。深入落实区级信用联合奖惩备忘录，探索信用分类监管。大力推广应用“秒批”办理模式，实现行政许可事项整体审批时限压缩70%。加快建设知识产权保护工作站，推动知识产权服务业发展，完善专利纠纷调解仲裁机制。</w:t>
      </w:r>
    </w:p>
    <w:p>
      <w:pPr>
        <w:snapToGrid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10.强化企业服务，提供精准智能服务。</w:t>
      </w:r>
      <w:r>
        <w:rPr>
          <w:rFonts w:hint="eastAsia" w:ascii="仿宋_GB2312" w:hAnsi="仿宋_GB2312" w:eastAsia="仿宋_GB2312" w:cs="仿宋_GB2312"/>
          <w:sz w:val="32"/>
          <w:szCs w:val="32"/>
        </w:rPr>
        <w:t>制定网络通信设备、智能终端、云服务、智能网联汽车等6条产业链专项支持政策，做好企业贴身服务。建设龙岗区一体化智慧企业服务平台，为企业提供精准服务。</w:t>
      </w:r>
    </w:p>
    <w:p>
      <w:pPr>
        <w:snapToGrid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11.开展精准优质招商，引进行业龙头。</w:t>
      </w:r>
      <w:r>
        <w:rPr>
          <w:rFonts w:hint="eastAsia" w:ascii="仿宋_GB2312" w:hAnsi="仿宋_GB2312" w:eastAsia="仿宋_GB2312" w:cs="仿宋_GB2312"/>
          <w:sz w:val="32"/>
          <w:szCs w:val="32"/>
        </w:rPr>
        <w:t>实行“区街共推”招商模式，重点开展ICT、人工智能物联网（AIoT）、电子元器件、绿色能源、生命科学、创意生活等六大主导产业的招商引资工作，新引进或培育3家以上链上行业龙头企业或中坚企业。</w:t>
      </w:r>
    </w:p>
    <w:p>
      <w:pPr>
        <w:snapToGrid w:val="0"/>
        <w:spacing w:line="560" w:lineRule="exact"/>
        <w:ind w:firstLine="646" w:firstLineChars="200"/>
        <w:rPr>
          <w:rFonts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12.加强顶层设计，推进改革增活力。</w:t>
      </w:r>
      <w:r>
        <w:rPr>
          <w:rFonts w:hint="eastAsia" w:ascii="仿宋_GB2312" w:hAnsi="仿宋_GB2312" w:eastAsia="仿宋_GB2312" w:cs="仿宋_GB2312"/>
          <w:sz w:val="32"/>
          <w:szCs w:val="32"/>
        </w:rPr>
        <w:t>以区委1号文出台龙岗区关于深化改革勇当深圳建设中国特色社会主义先行示范区排头兵的实施意见，引领示范区排头兵建设。制定2020年改革计划，持续深化经济、法治、文化、民生、生态领域改革，推出更多服务我区长远发展的重大改革举措。</w:t>
      </w:r>
    </w:p>
    <w:p>
      <w:pPr>
        <w:snapToGrid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13.多领域谋划改革事项，实施改革增动力。</w:t>
      </w:r>
      <w:r>
        <w:rPr>
          <w:rFonts w:hint="eastAsia" w:ascii="仿宋_GB2312" w:hAnsi="仿宋_GB2312" w:eastAsia="仿宋_GB2312" w:cs="仿宋_GB2312"/>
          <w:sz w:val="32"/>
          <w:szCs w:val="32"/>
        </w:rPr>
        <w:t>在东部高铁新城探索市区两级、双区联动的建设实施新机制。深化司法体制综合配套改革，实施诉讼制度改革。推进绿色信贷、绿色供应链发展，争创国家绿色金融改革创新试验区。</w:t>
      </w:r>
    </w:p>
    <w:p>
      <w:pPr>
        <w:snapToGrid w:val="0"/>
        <w:spacing w:line="560" w:lineRule="exact"/>
        <w:ind w:firstLine="646" w:firstLineChars="200"/>
        <w:rPr>
          <w:rFonts w:ascii="仿宋_GB2312" w:eastAsia="仿宋_GB2312"/>
          <w:b/>
          <w:bCs/>
          <w:sz w:val="32"/>
          <w:szCs w:val="32"/>
        </w:rPr>
      </w:pPr>
      <w:r>
        <w:rPr>
          <w:rFonts w:hint="eastAsia" w:ascii="仿宋_GB2312" w:eastAsia="仿宋_GB2312"/>
          <w:b/>
          <w:sz w:val="32"/>
          <w:szCs w:val="32"/>
        </w:rPr>
        <w:t>14.加大交通设施建设，完善路网布局。</w:t>
      </w:r>
      <w:r>
        <w:rPr>
          <w:rFonts w:hint="eastAsia" w:ascii="仿宋_GB2312" w:eastAsia="仿宋_GB2312"/>
          <w:bCs/>
          <w:sz w:val="32"/>
          <w:szCs w:val="32"/>
        </w:rPr>
        <w:t>推进轨道10号线通车运营，推动14、16号线加快建设，3号线东延段、16号线南延段开工建设。大布吉片区新型公共交通项目年内动工，推动平湖、大运交通枢纽TOD开发建设取得明显进展，协调深汕高铁、深惠城际、深大城际启动建设。</w:t>
      </w:r>
      <w:r>
        <w:rPr>
          <w:rFonts w:hint="eastAsia" w:ascii="仿宋_GB2312" w:eastAsia="仿宋_GB2312"/>
          <w:sz w:val="32"/>
          <w:szCs w:val="32"/>
        </w:rPr>
        <w:t>加快外环高速、东部过境通道等工程建设进度，</w:t>
      </w:r>
      <w:r>
        <w:rPr>
          <w:rFonts w:hint="eastAsia" w:ascii="仿宋_GB2312" w:eastAsia="仿宋_GB2312"/>
          <w:bCs/>
          <w:sz w:val="32"/>
          <w:szCs w:val="32"/>
        </w:rPr>
        <w:t>协调争取机荷高速改扩建工程动工及深汕第二高速、宝鹏通道等新增规划通道落地，打通断头路10条，力争全区次干道及以上路网密度达到3.3公里/平方公里。调整10条以上公交线路，500米</w:t>
      </w:r>
      <w:r>
        <w:rPr>
          <w:rFonts w:hint="eastAsia" w:ascii="仿宋_GB2312" w:eastAsia="仿宋_GB2312"/>
          <w:sz w:val="32"/>
          <w:szCs w:val="32"/>
        </w:rPr>
        <w:t>公交站点覆盖率提升至96%。</w:t>
      </w:r>
    </w:p>
    <w:p>
      <w:pPr>
        <w:snapToGrid w:val="0"/>
        <w:spacing w:line="560" w:lineRule="exact"/>
        <w:ind w:firstLine="646" w:firstLineChars="200"/>
        <w:rPr>
          <w:rFonts w:ascii="仿宋_GB2312" w:hAnsi="仿宋_GB2312" w:eastAsia="仿宋_GB2312" w:cs="仿宋_GB2312"/>
          <w:snapToGrid w:val="0"/>
          <w:sz w:val="32"/>
          <w:szCs w:val="32"/>
        </w:rPr>
      </w:pPr>
      <w:r>
        <w:rPr>
          <w:rFonts w:hint="eastAsia" w:ascii="仿宋_GB2312" w:eastAsia="仿宋_GB2312"/>
          <w:b/>
          <w:bCs/>
          <w:sz w:val="32"/>
          <w:szCs w:val="32"/>
        </w:rPr>
        <w:t>15.</w:t>
      </w:r>
      <w:r>
        <w:rPr>
          <w:rFonts w:hint="eastAsia" w:ascii="仿宋_GB2312" w:eastAsia="仿宋_GB2312"/>
          <w:b/>
          <w:sz w:val="32"/>
          <w:szCs w:val="32"/>
        </w:rPr>
        <w:t>探索城市有机更新，推进土地整备工作。</w:t>
      </w:r>
      <w:r>
        <w:rPr>
          <w:rFonts w:hint="eastAsia" w:ascii="仿宋_GB2312" w:hAnsi="仿宋_GB2312" w:eastAsia="仿宋_GB2312" w:cs="仿宋_GB2312"/>
          <w:snapToGrid w:val="0"/>
          <w:sz w:val="32"/>
          <w:szCs w:val="32"/>
        </w:rPr>
        <w:t>推进城市更新大片区统筹，规划配建一批公共配套设施，包括</w:t>
      </w:r>
      <w:r>
        <w:rPr>
          <w:rFonts w:hint="eastAsia" w:ascii="仿宋_GB2312" w:eastAsia="仿宋_GB2312"/>
          <w:sz w:val="32"/>
          <w:szCs w:val="32"/>
        </w:rPr>
        <w:t>6所中小学、17所幼儿园、人才住房和保障性住房不少于1.04万套。探索民俗文化与有机更新融合，做好甘坑客家小镇试点工作。</w:t>
      </w:r>
      <w:r>
        <w:rPr>
          <w:rFonts w:hint="eastAsia" w:ascii="仿宋_GB2312" w:hAnsi="仿宋_GB2312" w:eastAsia="仿宋_GB2312" w:cs="仿宋_GB2312"/>
          <w:sz w:val="32"/>
          <w:szCs w:val="32"/>
        </w:rPr>
        <w:t>大力推动产业</w:t>
      </w:r>
      <w:r>
        <w:rPr>
          <w:rFonts w:hint="eastAsia" w:ascii="仿宋_GB2312" w:hAnsi="仿宋_GB2312" w:eastAsia="仿宋_GB2312" w:cs="仿宋_GB2312"/>
          <w:snapToGrid w:val="0"/>
          <w:sz w:val="32"/>
          <w:szCs w:val="32"/>
        </w:rPr>
        <w:t>用地整备，重点推进平湖金融基地辅城坳片区、龙城嶂背片区等7个片区土地整备工作，为产业发展提供空间保障。</w:t>
      </w:r>
    </w:p>
    <w:p>
      <w:pPr>
        <w:pStyle w:val="5"/>
        <w:spacing w:line="560" w:lineRule="exact"/>
        <w:ind w:left="426" w:leftChars="200" w:firstLine="0" w:firstLineChars="0"/>
        <w:rPr>
          <w:rFonts w:ascii="楷体_GB2312" w:hAnsi="楷体_GB2312" w:eastAsia="楷体_GB2312" w:cs="楷体_GB2312"/>
          <w:bCs/>
        </w:rPr>
      </w:pPr>
      <w:r>
        <w:rPr>
          <w:rFonts w:hint="eastAsia" w:ascii="楷体_GB2312" w:hAnsi="楷体_GB2312" w:eastAsia="楷体_GB2312" w:cs="楷体_GB2312"/>
          <w:b w:val="0"/>
        </w:rPr>
        <w:t>（三）齐心协力，社会环境更加和谐</w:t>
      </w:r>
    </w:p>
    <w:p>
      <w:pPr>
        <w:pStyle w:val="6"/>
        <w:ind w:firstLine="646"/>
        <w:rPr>
          <w:rFonts w:hAnsi="仿宋_GB2312" w:cs="仿宋_GB2312"/>
          <w:bCs/>
          <w:snapToGrid w:val="0"/>
        </w:rPr>
      </w:pPr>
      <w:r>
        <w:rPr>
          <w:rFonts w:hint="eastAsia" w:hAnsi="仿宋_GB2312" w:cs="仿宋_GB2312"/>
          <w:bCs/>
          <w:snapToGrid w:val="0"/>
        </w:rPr>
        <w:t>强化“法治政府”和“数字政府”建设，加大安全生产、治安综合治理等领域工作力度，维护社会公平正义，推进社会共建共治共享。</w:t>
      </w:r>
    </w:p>
    <w:p>
      <w:pPr>
        <w:pStyle w:val="6"/>
        <w:ind w:firstLine="649"/>
        <w:rPr>
          <w:rFonts w:hAnsi="仿宋_GB2312" w:cs="仿宋_GB2312"/>
          <w:bCs/>
          <w:snapToGrid w:val="0"/>
        </w:rPr>
      </w:pPr>
      <w:r>
        <w:rPr>
          <w:rFonts w:hint="eastAsia" w:hAnsi="仿宋_GB2312" w:cs="仿宋_GB2312"/>
          <w:b/>
          <w:snapToGrid w:val="0"/>
        </w:rPr>
        <w:t>16.创建法治中国示范城区，完善公共法律服务体系。</w:t>
      </w:r>
      <w:r>
        <w:rPr>
          <w:rFonts w:hint="eastAsia" w:hAnsi="仿宋_GB2312" w:cs="仿宋_GB2312"/>
          <w:bCs/>
          <w:snapToGrid w:val="0"/>
        </w:rPr>
        <w:t>全面</w:t>
      </w:r>
      <w:r>
        <w:rPr>
          <w:rFonts w:hint="eastAsia" w:ascii="仿宋" w:hAnsi="仿宋" w:eastAsia="仿宋" w:cs="仿宋"/>
        </w:rPr>
        <w:t>落实深圳市法治中国示范城市建设实施纲要</w:t>
      </w:r>
      <w:r>
        <w:rPr>
          <w:rFonts w:hint="eastAsia" w:hAnsi="仿宋_GB2312" w:cs="仿宋_GB2312"/>
          <w:bCs/>
          <w:snapToGrid w:val="0"/>
        </w:rPr>
        <w:t>，助力我市</w:t>
      </w:r>
      <w:r>
        <w:rPr>
          <w:rFonts w:hint="eastAsia" w:ascii="仿宋" w:hAnsi="仿宋" w:eastAsia="仿宋" w:cs="仿宋"/>
        </w:rPr>
        <w:t>基本建成法治中国示范城市。</w:t>
      </w:r>
      <w:r>
        <w:rPr>
          <w:rFonts w:hint="eastAsia" w:hAnsi="仿宋_GB2312" w:cs="仿宋_GB2312"/>
          <w:bCs/>
          <w:snapToGrid w:val="0"/>
        </w:rPr>
        <w:t>推进现代公共法律服务体系建设示范，加强公共法律服务实体平台、热线平台、网络平台等基础设施建设，持续改善服务条件。</w:t>
      </w:r>
    </w:p>
    <w:p>
      <w:pPr>
        <w:pStyle w:val="6"/>
        <w:ind w:firstLine="649"/>
        <w:rPr>
          <w:rFonts w:hAnsi="仿宋_GB2312" w:cs="仿宋_GB2312"/>
        </w:rPr>
      </w:pPr>
      <w:r>
        <w:rPr>
          <w:rFonts w:hint="eastAsia" w:hAnsi="仿宋_GB2312" w:cs="仿宋_GB2312"/>
          <w:b/>
          <w:bCs/>
        </w:rPr>
        <w:t>17.建设“数字政府”，提高城市智慧化水平。</w:t>
      </w:r>
      <w:r>
        <w:rPr>
          <w:rFonts w:hint="eastAsia" w:hAnsi="仿宋_GB2312" w:cs="仿宋_GB2312"/>
        </w:rPr>
        <w:t>高标准建设广东省大数据综合试验区，把龙岗智慧中心建成智慧城市运行管理综合指挥一体化的“城市大脑”。推进网络基础设施和物联感知体系建设，建设基础设施可视化运维平台。率先采用先进技术，扩容龙岗智慧中心计算和存储资源，面向全区提供政务云服务，实现政府业务全面上云。</w:t>
      </w:r>
    </w:p>
    <w:p>
      <w:pPr>
        <w:pStyle w:val="6"/>
        <w:ind w:firstLine="649"/>
        <w:rPr>
          <w:rFonts w:hAnsi="仿宋_GB2312" w:cs="仿宋_GB2312"/>
          <w:bCs/>
          <w:snapToGrid w:val="0"/>
        </w:rPr>
      </w:pPr>
      <w:r>
        <w:rPr>
          <w:rFonts w:hint="eastAsia" w:hAnsi="仿宋_GB2312" w:cs="仿宋_GB2312"/>
          <w:b/>
          <w:snapToGrid w:val="0"/>
        </w:rPr>
        <w:t>18.深化“平安龙岗”建设，加强城市安全生产管理。</w:t>
      </w:r>
      <w:r>
        <w:rPr>
          <w:rFonts w:hint="eastAsia" w:hAnsi="仿宋_GB2312" w:cs="仿宋_GB2312"/>
          <w:snapToGrid w:val="0"/>
        </w:rPr>
        <w:t>推进安全生产信息化、标准化、专业化。</w:t>
      </w:r>
      <w:r>
        <w:rPr>
          <w:rFonts w:hint="eastAsia" w:hAnsi="仿宋_GB2312" w:cs="仿宋_GB2312"/>
          <w:bCs/>
          <w:snapToGrid w:val="0"/>
        </w:rPr>
        <w:t>全面排查整治危险化学品企业、粉尘涉爆、锂电池等重点领域安全隐患，防范和遏制重特大事故。坚持以防为主、防抗救相结合，做好防灾减灾救灾工作。</w:t>
      </w:r>
    </w:p>
    <w:p>
      <w:pPr>
        <w:pStyle w:val="6"/>
        <w:ind w:firstLine="649"/>
        <w:rPr>
          <w:rFonts w:hAnsi="仿宋_GB2312" w:cs="仿宋_GB2312"/>
          <w:bCs/>
          <w:snapToGrid w:val="0"/>
        </w:rPr>
      </w:pPr>
      <w:r>
        <w:rPr>
          <w:rFonts w:hint="eastAsia" w:hAnsi="仿宋_GB2312" w:cs="仿宋_GB2312"/>
          <w:b/>
          <w:snapToGrid w:val="0"/>
        </w:rPr>
        <w:t>19.运用信息技术手段，加大社会治安综合治理力度。</w:t>
      </w:r>
      <w:r>
        <w:rPr>
          <w:rFonts w:hint="eastAsia" w:hAnsi="仿宋_GB2312" w:cs="仿宋_GB2312"/>
          <w:bCs/>
          <w:snapToGrid w:val="0"/>
        </w:rPr>
        <w:t>继续开展“雪亮工程”、新型视频门禁项目建设工作，完成11个街道3万栋城中村出租屋的建设（改造）任务。用大数据理念引领侦查破案，推动反电诈打击工作。把更多的警力、精力和资源投入到民生小案的侦破上，实现以“小平安”累积“大平安”。万人八类暴力刑事犯罪立案数低于1.9宗。</w:t>
      </w:r>
    </w:p>
    <w:p>
      <w:pPr>
        <w:pStyle w:val="6"/>
        <w:ind w:firstLine="649"/>
        <w:rPr>
          <w:rFonts w:hAnsi="仿宋_GB2312" w:cs="仿宋_GB2312"/>
        </w:rPr>
      </w:pPr>
      <w:r>
        <w:rPr>
          <w:rFonts w:hint="eastAsia" w:hAnsi="仿宋_GB2312" w:cs="仿宋_GB2312"/>
          <w:b/>
          <w:snapToGrid w:val="0"/>
        </w:rPr>
        <w:t>20.加大全程监管力度，创建国家食品安全城市。</w:t>
      </w:r>
      <w:r>
        <w:rPr>
          <w:rFonts w:hint="eastAsia" w:hAnsi="仿宋_GB2312" w:cs="仿宋_GB2312"/>
        </w:rPr>
        <w:t>加大食品生产、流通和餐饮消费环节的监督抽查力度，</w:t>
      </w:r>
      <w:r>
        <w:rPr>
          <w:rFonts w:hint="eastAsia" w:hAnsi="仿宋_GB2312" w:cs="仿宋_GB2312"/>
          <w:bCs/>
          <w:snapToGrid w:val="0"/>
        </w:rPr>
        <w:t>实现“从农田到餐桌”全过程监管，抽检</w:t>
      </w:r>
      <w:r>
        <w:rPr>
          <w:rFonts w:hint="eastAsia" w:hAnsi="仿宋_GB2312" w:cs="仿宋_GB2312"/>
        </w:rPr>
        <w:t>合格率不低于97.5%。</w:t>
      </w:r>
    </w:p>
    <w:p>
      <w:pPr>
        <w:pStyle w:val="6"/>
        <w:ind w:firstLine="649"/>
      </w:pPr>
      <w:r>
        <w:rPr>
          <w:rFonts w:hint="eastAsia" w:hAnsi="仿宋_GB2312" w:cs="仿宋_GB2312"/>
          <w:b/>
          <w:bCs/>
        </w:rPr>
        <w:t>21</w:t>
      </w:r>
      <w:r>
        <w:rPr>
          <w:rFonts w:hint="eastAsia" w:hAnsi="仿宋_GB2312" w:cs="仿宋_GB2312"/>
          <w:b/>
          <w:bCs/>
          <w:snapToGrid w:val="0"/>
        </w:rPr>
        <w:t>.坚守“零增量”底线，</w:t>
      </w:r>
      <w:r>
        <w:rPr>
          <w:rFonts w:hint="eastAsia" w:hAnsi="仿宋_GB2312" w:cs="仿宋_GB2312"/>
          <w:b/>
          <w:snapToGrid w:val="0"/>
        </w:rPr>
        <w:t>保持查违高压态势</w:t>
      </w:r>
      <w:r>
        <w:rPr>
          <w:rFonts w:hint="eastAsia" w:hAnsi="仿宋_GB2312" w:cs="仿宋_GB2312"/>
          <w:b/>
          <w:bCs/>
          <w:snapToGrid w:val="0"/>
        </w:rPr>
        <w:t>。</w:t>
      </w:r>
      <w:r>
        <w:rPr>
          <w:rFonts w:hint="eastAsia" w:hAnsi="仿宋_GB2312" w:cs="仿宋_GB2312"/>
          <w:snapToGrid w:val="0"/>
        </w:rPr>
        <w:t>严格落实新增违建24 小时拆除原则。</w:t>
      </w:r>
      <w:r>
        <w:rPr>
          <w:rFonts w:hint="eastAsia"/>
        </w:rPr>
        <w:t>综合运用执法拆除、城市更新、土地整备、完善手续等手段推进拆除消化违建工作，全年拆除消化存量违建621.26万平方米。</w:t>
      </w:r>
    </w:p>
    <w:p>
      <w:pPr>
        <w:pStyle w:val="6"/>
        <w:ind w:firstLine="649"/>
      </w:pPr>
      <w:r>
        <w:rPr>
          <w:rFonts w:hint="eastAsia" w:hAnsi="仿宋_GB2312" w:cs="仿宋_GB2312"/>
          <w:b/>
          <w:bCs/>
        </w:rPr>
        <w:t>22.加强龙岗惠阳合作，融合发展增合力。</w:t>
      </w:r>
      <w:r>
        <w:rPr>
          <w:rFonts w:hint="eastAsia" w:hAnsi="仿宋_GB2312" w:cs="仿宋_GB2312"/>
        </w:rPr>
        <w:t>持续开展丁山河等重点跨区河流“联防联治”工作，加强上下游联动、一体化整治，推动河流水质达标。健全跨区域、跨部门联合执法机制，加强监控视频信息共享共用，共同做好两区相邻地界的城市管理、交通执法、社会治安、食品安全等管理工作。</w:t>
      </w:r>
    </w:p>
    <w:p>
      <w:pPr>
        <w:pStyle w:val="6"/>
        <w:ind w:firstLine="646"/>
        <w:rPr>
          <w:rFonts w:ascii="楷体_GB2312" w:hAnsi="楷体" w:eastAsia="楷体_GB2312"/>
        </w:rPr>
      </w:pPr>
      <w:r>
        <w:rPr>
          <w:rFonts w:hint="eastAsia" w:ascii="楷体_GB2312" w:hAnsi="楷体_GB2312" w:eastAsia="楷体_GB2312" w:cs="楷体_GB2312"/>
          <w:bCs/>
        </w:rPr>
        <w:t>（四）</w:t>
      </w:r>
      <w:r>
        <w:rPr>
          <w:rFonts w:hint="eastAsia" w:ascii="楷体_GB2312" w:hAnsi="楷体" w:eastAsia="楷体_GB2312"/>
        </w:rPr>
        <w:t>熔铸活力，文化氛围更加浓厚</w:t>
      </w:r>
    </w:p>
    <w:p>
      <w:pPr>
        <w:pStyle w:val="6"/>
        <w:ind w:firstLine="646"/>
        <w:rPr>
          <w:rFonts w:hAnsi="仿宋_GB2312" w:cs="仿宋_GB2312"/>
        </w:rPr>
      </w:pPr>
      <w:r>
        <w:rPr>
          <w:rFonts w:hint="eastAsia" w:hAnsi="仿宋_GB2312" w:cs="仿宋_GB2312"/>
        </w:rPr>
        <w:t>坚定文化自信，强化使命担当，建设特色文化街区，提升文体产业发展定位，打造文旅融合发展城区。</w:t>
      </w:r>
    </w:p>
    <w:p>
      <w:pPr>
        <w:pStyle w:val="6"/>
        <w:ind w:firstLine="649"/>
        <w:rPr>
          <w:rFonts w:hAnsi="仿宋_GB2312" w:cs="仿宋_GB2312"/>
        </w:rPr>
      </w:pPr>
      <w:r>
        <w:rPr>
          <w:rFonts w:hint="eastAsia" w:hAnsi="仿宋_GB2312" w:cs="仿宋_GB2312"/>
          <w:b/>
          <w:bCs/>
        </w:rPr>
        <w:t>23.谋划建设新</w:t>
      </w:r>
      <w:r>
        <w:rPr>
          <w:rFonts w:hint="eastAsia" w:hAnsi="仿宋_GB2312" w:cs="仿宋_GB2312"/>
          <w:b/>
          <w:bCs/>
          <w:lang w:eastAsia="zh-CN"/>
        </w:rPr>
        <w:t>十大</w:t>
      </w:r>
      <w:r>
        <w:rPr>
          <w:rFonts w:hint="eastAsia" w:hAnsi="仿宋_GB2312" w:cs="仿宋_GB2312"/>
          <w:b/>
          <w:bCs/>
        </w:rPr>
        <w:t>文化设施，提升城区文化品质。</w:t>
      </w:r>
      <w:r>
        <w:rPr>
          <w:rFonts w:hint="eastAsia" w:hAnsi="仿宋_GB2312" w:cs="仿宋_GB2312"/>
        </w:rPr>
        <w:t>加快推动深圳第二音乐厅、坂田国际艺术中心、客家围屋活化利用、龙岗河一河两岸博物馆群、宝龙街道文体中心（CBA篮球馆）规划落地，以点带面提升全区文化品质。建设“图书馆之区”，新建5个分馆，实现区图书馆总分馆一体化垂直管理。</w:t>
      </w:r>
    </w:p>
    <w:p>
      <w:pPr>
        <w:pStyle w:val="6"/>
        <w:ind w:firstLine="649"/>
        <w:rPr>
          <w:rFonts w:hAnsi="仿宋_GB2312" w:cs="仿宋_GB2312"/>
        </w:rPr>
      </w:pPr>
      <w:r>
        <w:rPr>
          <w:rFonts w:hint="eastAsia" w:hAnsi="仿宋_GB2312" w:cs="仿宋_GB2312"/>
          <w:b/>
          <w:bCs/>
        </w:rPr>
        <w:t>24.弘扬特区精神，创建全国文明城市。</w:t>
      </w:r>
      <w:r>
        <w:rPr>
          <w:rFonts w:hint="eastAsia" w:hAnsi="仿宋_GB2312" w:cs="仿宋_GB2312"/>
        </w:rPr>
        <w:t>依托龙岗区融媒体中心、龙岗融媒APP等媒体传播优势，大力提升学习宣传贯彻深圳建设中国特色社会主义先行示范区的广度、力度、温度和深度。统筹运用现有基层公共服务阵地资源，打造龙岗区新时代文明实践中心、站点，加快构建一支政治过硬、素质优良、结构合理的志愿者队伍，推动街道、社区文明实践站点建设。</w:t>
      </w:r>
    </w:p>
    <w:p>
      <w:pPr>
        <w:pStyle w:val="6"/>
        <w:ind w:firstLine="649"/>
        <w:rPr>
          <w:rFonts w:hAnsi="仿宋_GB2312" w:cs="仿宋_GB2312"/>
        </w:rPr>
      </w:pPr>
      <w:r>
        <w:rPr>
          <w:rFonts w:hint="eastAsia" w:hAnsi="仿宋_GB2312" w:cs="仿宋_GB2312"/>
          <w:b/>
          <w:bCs/>
        </w:rPr>
        <w:t>25.建设特色文化街区，实现文旅融合发展。</w:t>
      </w:r>
      <w:r>
        <w:rPr>
          <w:rFonts w:hint="eastAsia" w:hAnsi="仿宋_GB2312" w:cs="仿宋_GB2312"/>
        </w:rPr>
        <w:t>推进大芬油画村综合整治、甘坑客家小镇周边环境景观提升，办好文博会大芬油画村分会场、第二届深圳大芬国际油画双年展等活动，</w:t>
      </w:r>
      <w:r>
        <w:rPr>
          <w:rFonts w:hint="eastAsia" w:hAnsi="Times New Roman"/>
        </w:rPr>
        <w:t>努力创建甘坑客家小镇4A级景区，</w:t>
      </w:r>
      <w:r>
        <w:rPr>
          <w:rFonts w:hint="eastAsia" w:hAnsi="仿宋_GB2312" w:cs="仿宋_GB2312"/>
        </w:rPr>
        <w:t>打造两个市级十大特色文化街区。</w:t>
      </w:r>
    </w:p>
    <w:p>
      <w:pPr>
        <w:pStyle w:val="6"/>
        <w:ind w:firstLine="649"/>
        <w:rPr>
          <w:rFonts w:hAnsi="仿宋_GB2312" w:cs="仿宋_GB2312"/>
        </w:rPr>
      </w:pPr>
      <w:r>
        <w:rPr>
          <w:rFonts w:hint="eastAsia" w:hAnsi="仿宋_GB2312" w:cs="仿宋_GB2312"/>
          <w:b/>
          <w:bCs/>
        </w:rPr>
        <w:t>26.增加公共文化供给，促进文化产业繁荣</w:t>
      </w:r>
      <w:r>
        <w:rPr>
          <w:rFonts w:hint="eastAsia" w:hAnsi="仿宋_GB2312" w:cs="仿宋_GB2312"/>
        </w:rPr>
        <w:t>。争创全省首个精准公共文化服务体系示范区。加快打造“十分钟公共文化服务圈”，实现全区111个社区文化馆社区服务点、图书馆的社区分馆全覆盖。以“龙岗数字创意产业走廊”为主体，以发展数字文化产业为重点，创建国家级文化产业示范园区。</w:t>
      </w:r>
    </w:p>
    <w:p>
      <w:pPr>
        <w:pStyle w:val="6"/>
        <w:ind w:firstLine="649"/>
        <w:rPr>
          <w:rFonts w:hAnsi="仿宋_GB2312" w:cs="仿宋_GB2312"/>
        </w:rPr>
      </w:pPr>
      <w:r>
        <w:rPr>
          <w:rFonts w:hint="eastAsia" w:hAnsi="仿宋_GB2312" w:cs="仿宋_GB2312"/>
          <w:b/>
          <w:bCs/>
        </w:rPr>
        <w:t>27.提升体育产业发展水平，打造体育赛事名城。</w:t>
      </w:r>
      <w:r>
        <w:rPr>
          <w:rFonts w:hint="eastAsia" w:hAnsi="仿宋_GB2312" w:cs="仿宋_GB2312"/>
        </w:rPr>
        <w:t>创建国家体育产业示范基地，</w:t>
      </w:r>
      <w:r>
        <w:rPr>
          <w:rFonts w:hint="eastAsia" w:hAnsi="黑体"/>
        </w:rPr>
        <w:t>推动体育产业发展上档升级</w:t>
      </w:r>
      <w:r>
        <w:rPr>
          <w:rFonts w:hint="eastAsia" w:hAnsi="仿宋_GB2312" w:cs="仿宋_GB2312"/>
        </w:rPr>
        <w:t>。高水平引办2020年FINA冠军游泳系列赛、冰球联赛等高端赛事。引进国家田径队、乒乓球队训练基地，提升龙岗区职业体育影响力。</w:t>
      </w:r>
    </w:p>
    <w:p>
      <w:pPr>
        <w:pStyle w:val="6"/>
        <w:ind w:firstLine="646"/>
        <w:rPr>
          <w:rFonts w:ascii="楷体_GB2312" w:hAnsi="楷体_GB2312" w:eastAsia="楷体_GB2312" w:cs="楷体_GB2312"/>
        </w:rPr>
      </w:pPr>
      <w:r>
        <w:rPr>
          <w:rFonts w:hint="eastAsia" w:ascii="楷体_GB2312" w:hAnsi="楷体_GB2312" w:eastAsia="楷体_GB2312" w:cs="楷体_GB2312"/>
        </w:rPr>
        <w:t>（五）尽心竭力，民生福祉更加厚实</w:t>
      </w:r>
    </w:p>
    <w:p>
      <w:pPr>
        <w:pStyle w:val="6"/>
        <w:ind w:firstLine="646"/>
        <w:rPr>
          <w:rFonts w:hAnsi="仿宋_GB2312" w:cs="仿宋_GB2312"/>
          <w:bCs/>
        </w:rPr>
      </w:pPr>
      <w:r>
        <w:rPr>
          <w:rFonts w:hint="eastAsia" w:hAnsi="仿宋" w:cs="仿宋"/>
          <w:bCs/>
        </w:rPr>
        <w:t>增进人民福祉，促进人的全面发展，</w:t>
      </w:r>
      <w:r>
        <w:rPr>
          <w:rFonts w:hint="eastAsia" w:hAnsi="仿宋_GB2312" w:cs="仿宋_GB2312"/>
          <w:bCs/>
        </w:rPr>
        <w:t>打造幼有善育、学有优教、劳有厚得、病有良医、老有颐养，住有宜居、弱有众扶的幸福龙岗。</w:t>
      </w:r>
    </w:p>
    <w:p>
      <w:pPr>
        <w:pStyle w:val="6"/>
        <w:ind w:firstLine="649"/>
        <w:rPr>
          <w:rFonts w:hAnsi="仿宋_GB2312" w:cs="仿宋_GB2312"/>
        </w:rPr>
      </w:pPr>
      <w:r>
        <w:rPr>
          <w:rFonts w:hint="eastAsia" w:hAnsi="仿宋" w:cs="仿宋"/>
          <w:b/>
        </w:rPr>
        <w:t>28.引入优质资源，发展教育事业。</w:t>
      </w:r>
      <w:r>
        <w:rPr>
          <w:rFonts w:hint="eastAsia" w:hAnsi="仿宋_GB2312" w:cs="仿宋_GB2312"/>
        </w:rPr>
        <w:t>公办在园幼儿占比提高到50%，新建扩建龙飞学校、坂田和美外国语小学、平湖中心小学等12所中小学，新增公办学位1.77万个。加快港中大附属学校等规划建设。</w:t>
      </w:r>
    </w:p>
    <w:p>
      <w:pPr>
        <w:pStyle w:val="6"/>
        <w:ind w:firstLine="649"/>
        <w:rPr>
          <w:rFonts w:hAnsi="仿宋_GB2312" w:cs="仿宋_GB2312"/>
        </w:rPr>
      </w:pPr>
      <w:r>
        <w:rPr>
          <w:rFonts w:hint="eastAsia" w:hAnsi="仿宋" w:cs="仿宋"/>
          <w:b/>
        </w:rPr>
        <w:t>29.强化制度建设，提升医疗服务水平。</w:t>
      </w:r>
      <w:r>
        <w:rPr>
          <w:rFonts w:hint="eastAsia" w:hAnsi="仿宋" w:cs="仿宋"/>
          <w:bCs/>
        </w:rPr>
        <w:t>完善基层医疗集团化管理，促进医疗资源有机融合。加强公立医院信息系统（三期）建设，</w:t>
      </w:r>
      <w:r>
        <w:rPr>
          <w:rFonts w:hint="eastAsia" w:hAnsi="仿宋_GB2312" w:cs="仿宋_GB2312"/>
        </w:rPr>
        <w:t>实现全区医疗质量及医疗安全的统一综合监管</w:t>
      </w:r>
      <w:r>
        <w:rPr>
          <w:rFonts w:hint="eastAsia" w:hAnsi="仿宋" w:cs="仿宋"/>
          <w:bCs/>
        </w:rPr>
        <w:t>。加快推动区第二人民医院迁址重建工程（布吉罗岗地块）、区</w:t>
      </w:r>
      <w:r>
        <w:rPr>
          <w:rFonts w:hint="eastAsia" w:hAnsi="仿宋" w:cs="仿宋"/>
          <w:bCs/>
          <w:lang w:eastAsia="zh-CN"/>
        </w:rPr>
        <w:t>第四</w:t>
      </w:r>
      <w:r>
        <w:rPr>
          <w:rFonts w:hint="eastAsia" w:hAnsi="仿宋" w:cs="仿宋"/>
          <w:bCs/>
        </w:rPr>
        <w:t>人民医院改扩建、区第六人民医院二期、市人民医院坂田院区等13个项目建设。加快龙岗区骨科医院二期工程、龙岗区第二人民医院迁址重建工程（水径地块）、龙岗区第二中医院新建工程等3个项目前期工作，推动尽早开工建设。新增5家社康中心。</w:t>
      </w:r>
    </w:p>
    <w:p>
      <w:pPr>
        <w:pStyle w:val="6"/>
        <w:ind w:firstLine="649"/>
        <w:rPr>
          <w:rFonts w:hAnsi="仿宋_GB2312" w:cs="仿宋_GB2312"/>
          <w:u w:val="single"/>
        </w:rPr>
      </w:pPr>
      <w:r>
        <w:rPr>
          <w:rFonts w:hint="eastAsia" w:hAnsi="仿宋_GB2312" w:cs="仿宋_GB2312"/>
          <w:b/>
          <w:bCs/>
        </w:rPr>
        <w:t>30.做好妇女儿童工作，优化养老保障服务。</w:t>
      </w:r>
      <w:r>
        <w:rPr>
          <w:rFonts w:hint="eastAsia" w:hAnsi="仿宋_GB2312" w:cs="仿宋_GB2312"/>
        </w:rPr>
        <w:t>依法保护妇女儿童权益，扎实推进儿童友好型城区建设。</w:t>
      </w:r>
      <w:r>
        <w:rPr>
          <w:rFonts w:hint="eastAsia" w:hAnsi="仿宋" w:cs="仿宋"/>
          <w:bCs/>
        </w:rPr>
        <w:t>推动社区“夕阳红”都市养老服务中心开展服务，</w:t>
      </w:r>
      <w:r>
        <w:rPr>
          <w:rFonts w:hint="eastAsia" w:hAnsi="仿宋_GB2312" w:cs="仿宋_GB2312"/>
        </w:rPr>
        <w:t>加快推进龙岗区养老护理院、第六人民医院二期“医养结合”项目建设，全年新增养老床位100张。</w:t>
      </w:r>
    </w:p>
    <w:p>
      <w:pPr>
        <w:pStyle w:val="6"/>
        <w:ind w:firstLine="649"/>
        <w:rPr>
          <w:rFonts w:hAnsi="仿宋_GB2312" w:cs="仿宋_GB2312"/>
        </w:rPr>
      </w:pPr>
      <w:r>
        <w:rPr>
          <w:rFonts w:hint="eastAsia" w:hAnsi="仿宋_GB2312" w:cs="仿宋_GB2312"/>
          <w:b/>
          <w:bCs/>
        </w:rPr>
        <w:t>31.加大住房保障力度，提升就业服务质量。</w:t>
      </w:r>
      <w:r>
        <w:rPr>
          <w:rFonts w:hint="eastAsia" w:hAnsi="仿宋_GB2312" w:cs="仿宋_GB2312"/>
        </w:rPr>
        <w:t>多途径、多方式探索新渠道保障房供给，完成上级下达的安居工程供应任务，供应人才住房和保障性住房</w:t>
      </w:r>
      <w:r>
        <w:rPr>
          <w:rFonts w:hint="eastAsia" w:hAnsi="仿宋_GB2312" w:cs="仿宋_GB2312"/>
          <w:lang w:val="en-US" w:eastAsia="zh-CN"/>
        </w:rPr>
        <w:t>950</w:t>
      </w:r>
      <w:r>
        <w:rPr>
          <w:rFonts w:hint="eastAsia" w:hAnsi="仿宋_GB2312" w:cs="仿宋_GB2312"/>
        </w:rPr>
        <w:t>套。加快建设粤港澳青年创新创业基地、技能人才培训基地，促进青年人才就业创业。积极开展残疾人就业指导服务，新增残疾人就业60人。</w:t>
      </w:r>
    </w:p>
    <w:p>
      <w:pPr>
        <w:pStyle w:val="6"/>
        <w:ind w:firstLine="646"/>
        <w:rPr>
          <w:rFonts w:hAnsi="仿宋" w:cs="仿宋"/>
          <w:bCs/>
        </w:rPr>
      </w:pPr>
      <w:r>
        <w:rPr>
          <w:rFonts w:hint="eastAsia" w:ascii="楷体_GB2312" w:hAnsi="楷体_GB2312" w:eastAsia="楷体_GB2312" w:cs="楷体_GB2312"/>
        </w:rPr>
        <w:t>（六）增添魅力，生态环境更加优美</w:t>
      </w:r>
    </w:p>
    <w:p>
      <w:pPr>
        <w:spacing w:line="560" w:lineRule="exact"/>
        <w:ind w:firstLine="646"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促进人与自然和谐共生，抓好生态环境污染综合防治，推进生态文明发展，建设美丽龙岗。</w:t>
      </w:r>
    </w:p>
    <w:p>
      <w:pPr>
        <w:spacing w:line="560" w:lineRule="exact"/>
        <w:ind w:firstLine="646" w:firstLineChars="200"/>
      </w:pPr>
      <w:r>
        <w:rPr>
          <w:rFonts w:hint="eastAsia" w:ascii="仿宋_GB2312" w:hAnsi="仿宋_GB2312" w:eastAsia="仿宋_GB2312" w:cs="仿宋_GB2312"/>
          <w:b/>
          <w:snapToGrid w:val="0"/>
          <w:sz w:val="32"/>
          <w:szCs w:val="32"/>
        </w:rPr>
        <w:t>32.</w:t>
      </w:r>
      <w:r>
        <w:rPr>
          <w:rFonts w:hint="eastAsia" w:ascii="仿宋_GB2312" w:hAnsi="仿宋_GB2312" w:eastAsia="仿宋_GB2312" w:cs="仿宋_GB2312"/>
          <w:b/>
          <w:bCs/>
          <w:sz w:val="32"/>
          <w:szCs w:val="32"/>
        </w:rPr>
        <w:t>建设公园之城，提升城市环境品质。</w:t>
      </w:r>
      <w:r>
        <w:rPr>
          <w:rFonts w:hint="eastAsia" w:ascii="仿宋_GB2312" w:hAnsi="仿宋_GB2312" w:eastAsia="仿宋_GB2312" w:cs="仿宋_GB2312"/>
          <w:bCs/>
          <w:snapToGrid w:val="0"/>
          <w:sz w:val="32"/>
          <w:szCs w:val="32"/>
        </w:rPr>
        <w:t>新建、改造社区公园5个，加快推进坂田雪象体育公园、龙湖公园、三联郊野公园、石鼓岭公园等公园项目和南湾、坂田等绿道工程项目建设。启动龙岗河一河两岸示范段建设，加快龙口水库景观提升工程建设进度。完成2019-2020年的304个城中村综合整治工作，并按标准打造若干“优秀村”。</w:t>
      </w:r>
    </w:p>
    <w:p>
      <w:pPr>
        <w:spacing w:line="560" w:lineRule="exact"/>
        <w:ind w:firstLine="646"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
          <w:snapToGrid w:val="0"/>
          <w:sz w:val="32"/>
          <w:szCs w:val="32"/>
        </w:rPr>
        <w:t>33.全面推进垃圾分类，提高处理能力。</w:t>
      </w:r>
      <w:r>
        <w:rPr>
          <w:rFonts w:hint="eastAsia" w:ascii="仿宋_GB2312" w:hAnsi="仿宋_GB2312" w:eastAsia="仿宋_GB2312" w:cs="仿宋_GB2312"/>
          <w:bCs/>
          <w:snapToGrid w:val="0"/>
          <w:sz w:val="32"/>
          <w:szCs w:val="32"/>
        </w:rPr>
        <w:t>开展全区垃圾分类“深调研”工作，出台全面实施垃圾分类工作举措。推进平湖垃圾焚烧发电厂升级改造，加强垃圾分类处理设施规划建设，大力提升末端处理能力。城市生活垃圾资源化利用率达到35%。</w:t>
      </w:r>
    </w:p>
    <w:p>
      <w:pPr>
        <w:spacing w:line="560" w:lineRule="exact"/>
        <w:ind w:firstLine="646" w:firstLineChars="200"/>
      </w:pPr>
      <w:r>
        <w:rPr>
          <w:rFonts w:hint="eastAsia" w:ascii="仿宋_GB2312" w:hAnsi="仿宋_GB2312" w:eastAsia="仿宋_GB2312" w:cs="仿宋_GB2312"/>
          <w:b/>
          <w:snapToGrid w:val="0"/>
          <w:sz w:val="32"/>
          <w:szCs w:val="32"/>
        </w:rPr>
        <w:t>34.提升绿色发展水平，降低资源能源消耗。</w:t>
      </w:r>
      <w:r>
        <w:rPr>
          <w:rFonts w:hint="eastAsia" w:ascii="仿宋_GB2312" w:hAnsi="仿宋_GB2312" w:eastAsia="仿宋_GB2312" w:cs="仿宋_GB2312"/>
          <w:bCs/>
          <w:snapToGrid w:val="0"/>
          <w:sz w:val="32"/>
          <w:szCs w:val="32"/>
        </w:rPr>
        <w:t>推进全区能源消耗总量和强度双控工作，实现万元GDP能耗下降4.32%。完成2个工业园区的循环化改造。推动新能源汽车充电设施建设。力争建筑废弃物再生处理能力达到650万吨。加快发展高星级高等级绿色建筑、装配式建筑。政府投资工程再生建材使用率达到100%。</w:t>
      </w:r>
    </w:p>
    <w:p>
      <w:pPr>
        <w:spacing w:line="560" w:lineRule="exact"/>
        <w:ind w:firstLine="646"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
          <w:snapToGrid w:val="0"/>
          <w:sz w:val="32"/>
          <w:szCs w:val="32"/>
        </w:rPr>
        <w:t>35.强化大气环境整治，深入推进治水提质。</w:t>
      </w:r>
      <w:r>
        <w:rPr>
          <w:rFonts w:hint="eastAsia" w:ascii="仿宋_GB2312" w:hAnsi="仿宋_GB2312" w:eastAsia="仿宋_GB2312" w:cs="仿宋_GB2312"/>
          <w:bCs/>
          <w:snapToGrid w:val="0"/>
          <w:sz w:val="32"/>
          <w:szCs w:val="32"/>
        </w:rPr>
        <w:t>深入实施“深圳蓝”可持续计划，推动空气质量持续好转，PM</w:t>
      </w:r>
      <w:r>
        <w:rPr>
          <w:rFonts w:hint="eastAsia" w:ascii="仿宋_GB2312" w:hAnsi="仿宋_GB2312" w:eastAsia="仿宋_GB2312" w:cs="仿宋_GB2312"/>
          <w:bCs/>
          <w:snapToGrid w:val="0"/>
          <w:sz w:val="32"/>
          <w:szCs w:val="32"/>
          <w:vertAlign w:val="subscript"/>
        </w:rPr>
        <w:t>2.5</w:t>
      </w:r>
      <w:r>
        <w:rPr>
          <w:rFonts w:hint="eastAsia" w:ascii="仿宋_GB2312" w:hAnsi="仿宋_GB2312" w:eastAsia="仿宋_GB2312" w:cs="仿宋_GB2312"/>
          <w:bCs/>
          <w:snapToGrid w:val="0"/>
          <w:sz w:val="32"/>
          <w:szCs w:val="32"/>
        </w:rPr>
        <w:t>年均浓度降至27.3微克/立方米。开展全面消黑“回头看”考核工作，确保国考40条河道、780条小微水体全面消除黑臭，实现长制久清。深圳河、观澜河、龙岗河流域10平方公里以上一级支流全面消除劣Ⅴ类，全部入库支流达地表水Ⅳ类。城市生活污水收集处理效能明显提高。完成40公里碧道建设工作。</w:t>
      </w:r>
    </w:p>
    <w:p>
      <w:pPr>
        <w:spacing w:line="560" w:lineRule="exact"/>
        <w:ind w:firstLine="646" w:firstLineChars="200"/>
        <w:rPr>
          <w:rFonts w:ascii="仿宋_GB2312" w:hAnsi="仿宋" w:eastAsia="仿宋_GB2312"/>
          <w:sz w:val="32"/>
          <w:szCs w:val="32"/>
        </w:rPr>
      </w:pPr>
      <w:r>
        <w:rPr>
          <w:rFonts w:hint="eastAsia" w:ascii="仿宋_GB2312" w:hAnsi="仿宋" w:eastAsia="仿宋_GB2312"/>
          <w:sz w:val="32"/>
          <w:szCs w:val="32"/>
        </w:rPr>
        <w:t>各位代表，2020年我区经济社会发展任务艰巨，我们将在区委区政府的坚强领导和区人大、政协的监督支持下，以习近平新时代中国特色社会主义思想为指导，紧紧围绕全年经济社会发展目标，始终保持只争朝夕、时不我待的精神状态,</w:t>
      </w:r>
      <w:r>
        <w:rPr>
          <w:rFonts w:hint="eastAsia" w:ascii="仿宋_GB2312" w:eastAsia="仿宋_GB2312"/>
          <w:bCs/>
          <w:sz w:val="32"/>
          <w:szCs w:val="32"/>
        </w:rPr>
        <w:t xml:space="preserve"> 风雨兼程、驰而不息地</w:t>
      </w:r>
      <w:r>
        <w:rPr>
          <w:rFonts w:hint="eastAsia" w:ascii="仿宋_GB2312" w:eastAsia="仿宋_GB2312"/>
          <w:bCs/>
          <w:kern w:val="0"/>
          <w:sz w:val="32"/>
          <w:szCs w:val="32"/>
        </w:rPr>
        <w:t>扎实工作</w:t>
      </w:r>
      <w:r>
        <w:rPr>
          <w:rFonts w:hint="eastAsia" w:ascii="仿宋_GB2312" w:eastAsia="仿宋_GB2312"/>
          <w:bCs/>
          <w:sz w:val="32"/>
          <w:szCs w:val="32"/>
        </w:rPr>
        <w:t>，</w:t>
      </w:r>
      <w:r>
        <w:rPr>
          <w:rFonts w:hint="eastAsia" w:ascii="仿宋_GB2312" w:hAnsi="仿宋" w:eastAsia="仿宋_GB2312"/>
          <w:sz w:val="32"/>
          <w:szCs w:val="32"/>
        </w:rPr>
        <w:t>精准发力抓落实,千方百计稳增长,力争全面完成全年和“十三五”时期经济社会发展目标，勇当</w:t>
      </w:r>
      <w:r>
        <w:rPr>
          <w:rFonts w:hint="eastAsia" w:ascii="仿宋_GB2312" w:eastAsia="仿宋_GB2312"/>
          <w:sz w:val="32"/>
          <w:szCs w:val="32"/>
        </w:rPr>
        <w:t>深圳建设中国特色社会主义先行示范区排头兵</w:t>
      </w:r>
      <w:r>
        <w:rPr>
          <w:rFonts w:hint="eastAsia" w:ascii="仿宋_GB2312" w:hAnsi="仿宋" w:eastAsia="仿宋_GB2312"/>
          <w:sz w:val="32"/>
          <w:szCs w:val="32"/>
        </w:rPr>
        <w:t>。</w:t>
      </w:r>
    </w:p>
    <w:sectPr>
      <w:footerReference r:id="rId3" w:type="default"/>
      <w:footnotePr>
        <w:numFmt w:val="decimalEnclosedCircleChinese"/>
      </w:footnotePr>
      <w:pgSz w:w="11906" w:h="16838"/>
      <w:pgMar w:top="1984" w:right="1474" w:bottom="1928" w:left="1587" w:header="851" w:footer="992" w:gutter="0"/>
      <w:cols w:space="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22</w:t>
    </w:r>
    <w:r>
      <w:rPr>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CA"/>
    <w:rsid w:val="00103A6E"/>
    <w:rsid w:val="00145E3B"/>
    <w:rsid w:val="002D5F33"/>
    <w:rsid w:val="00364232"/>
    <w:rsid w:val="005C554C"/>
    <w:rsid w:val="005D2528"/>
    <w:rsid w:val="005D660D"/>
    <w:rsid w:val="00744771"/>
    <w:rsid w:val="007539EE"/>
    <w:rsid w:val="0076013F"/>
    <w:rsid w:val="007C60CA"/>
    <w:rsid w:val="007D1489"/>
    <w:rsid w:val="0081145C"/>
    <w:rsid w:val="0093748D"/>
    <w:rsid w:val="00950272"/>
    <w:rsid w:val="009D7217"/>
    <w:rsid w:val="00A37C1C"/>
    <w:rsid w:val="00A46974"/>
    <w:rsid w:val="00B86F86"/>
    <w:rsid w:val="00C27CD9"/>
    <w:rsid w:val="00C330B9"/>
    <w:rsid w:val="00CB74C0"/>
    <w:rsid w:val="00D50893"/>
    <w:rsid w:val="00E35FD1"/>
    <w:rsid w:val="00E561A0"/>
    <w:rsid w:val="00E82822"/>
    <w:rsid w:val="00FC5874"/>
    <w:rsid w:val="00FF50D7"/>
    <w:rsid w:val="01240F55"/>
    <w:rsid w:val="016963C8"/>
    <w:rsid w:val="01AF4217"/>
    <w:rsid w:val="01BD10F4"/>
    <w:rsid w:val="020245DB"/>
    <w:rsid w:val="02AF0957"/>
    <w:rsid w:val="02C04023"/>
    <w:rsid w:val="02C71C2F"/>
    <w:rsid w:val="032C5076"/>
    <w:rsid w:val="035C5720"/>
    <w:rsid w:val="037A6312"/>
    <w:rsid w:val="038279DF"/>
    <w:rsid w:val="03A72D37"/>
    <w:rsid w:val="041C29ED"/>
    <w:rsid w:val="042E03DB"/>
    <w:rsid w:val="04321084"/>
    <w:rsid w:val="044C26E4"/>
    <w:rsid w:val="04EB21F7"/>
    <w:rsid w:val="05146C37"/>
    <w:rsid w:val="05390060"/>
    <w:rsid w:val="0545306E"/>
    <w:rsid w:val="055924DC"/>
    <w:rsid w:val="057C1879"/>
    <w:rsid w:val="06212C02"/>
    <w:rsid w:val="066715D0"/>
    <w:rsid w:val="06B00563"/>
    <w:rsid w:val="06B019F4"/>
    <w:rsid w:val="06F164FC"/>
    <w:rsid w:val="070C13CB"/>
    <w:rsid w:val="075F29D3"/>
    <w:rsid w:val="075F5B08"/>
    <w:rsid w:val="07897E3E"/>
    <w:rsid w:val="07E02187"/>
    <w:rsid w:val="083649E0"/>
    <w:rsid w:val="08475150"/>
    <w:rsid w:val="084C7FF8"/>
    <w:rsid w:val="0871746E"/>
    <w:rsid w:val="088519E9"/>
    <w:rsid w:val="08C340FB"/>
    <w:rsid w:val="08D67B87"/>
    <w:rsid w:val="096137FB"/>
    <w:rsid w:val="09C7059E"/>
    <w:rsid w:val="0A211689"/>
    <w:rsid w:val="0A2116DB"/>
    <w:rsid w:val="0A5B07AC"/>
    <w:rsid w:val="0A7162ED"/>
    <w:rsid w:val="0A786615"/>
    <w:rsid w:val="0A7A1AAF"/>
    <w:rsid w:val="0B3220E0"/>
    <w:rsid w:val="0B3B54E0"/>
    <w:rsid w:val="0B704E2A"/>
    <w:rsid w:val="0BB15D9A"/>
    <w:rsid w:val="0C512C44"/>
    <w:rsid w:val="0C920BD5"/>
    <w:rsid w:val="0C970D96"/>
    <w:rsid w:val="0CCB1B54"/>
    <w:rsid w:val="0D1A09A9"/>
    <w:rsid w:val="0D4552DD"/>
    <w:rsid w:val="0D506408"/>
    <w:rsid w:val="0D9141AB"/>
    <w:rsid w:val="0DA30AA0"/>
    <w:rsid w:val="0E0F09A3"/>
    <w:rsid w:val="0E257CF0"/>
    <w:rsid w:val="0E890CFF"/>
    <w:rsid w:val="0F242D1E"/>
    <w:rsid w:val="0F454FFC"/>
    <w:rsid w:val="0F842EFF"/>
    <w:rsid w:val="0FE2216A"/>
    <w:rsid w:val="0FEB63FE"/>
    <w:rsid w:val="10216558"/>
    <w:rsid w:val="11032B44"/>
    <w:rsid w:val="112D5B6B"/>
    <w:rsid w:val="118843D2"/>
    <w:rsid w:val="1237096A"/>
    <w:rsid w:val="127943DB"/>
    <w:rsid w:val="12B20441"/>
    <w:rsid w:val="12D545EE"/>
    <w:rsid w:val="12E22665"/>
    <w:rsid w:val="12FD34AA"/>
    <w:rsid w:val="132D3DD7"/>
    <w:rsid w:val="13455665"/>
    <w:rsid w:val="137C708C"/>
    <w:rsid w:val="139766BB"/>
    <w:rsid w:val="142F7EB0"/>
    <w:rsid w:val="14342E58"/>
    <w:rsid w:val="144662A0"/>
    <w:rsid w:val="144B3A1F"/>
    <w:rsid w:val="146573DA"/>
    <w:rsid w:val="148A0353"/>
    <w:rsid w:val="149009C1"/>
    <w:rsid w:val="14F342F5"/>
    <w:rsid w:val="15015AAD"/>
    <w:rsid w:val="15117C70"/>
    <w:rsid w:val="151D4B8B"/>
    <w:rsid w:val="1529671C"/>
    <w:rsid w:val="156D7945"/>
    <w:rsid w:val="1589273A"/>
    <w:rsid w:val="15A05E9B"/>
    <w:rsid w:val="15CD7FA7"/>
    <w:rsid w:val="15DF0E59"/>
    <w:rsid w:val="1610025C"/>
    <w:rsid w:val="164F404C"/>
    <w:rsid w:val="16B25FCC"/>
    <w:rsid w:val="16C50F95"/>
    <w:rsid w:val="16D22C05"/>
    <w:rsid w:val="17311A3B"/>
    <w:rsid w:val="177C2B07"/>
    <w:rsid w:val="17C61562"/>
    <w:rsid w:val="17E13D5A"/>
    <w:rsid w:val="17E76A20"/>
    <w:rsid w:val="18146807"/>
    <w:rsid w:val="18224220"/>
    <w:rsid w:val="182604FA"/>
    <w:rsid w:val="184F629B"/>
    <w:rsid w:val="186A6259"/>
    <w:rsid w:val="18964024"/>
    <w:rsid w:val="18AA3F33"/>
    <w:rsid w:val="18AD51C9"/>
    <w:rsid w:val="18BD4DBF"/>
    <w:rsid w:val="18C5331E"/>
    <w:rsid w:val="18F03DBA"/>
    <w:rsid w:val="191A46D8"/>
    <w:rsid w:val="191A6A42"/>
    <w:rsid w:val="19225513"/>
    <w:rsid w:val="19637795"/>
    <w:rsid w:val="19C65F93"/>
    <w:rsid w:val="19E01B81"/>
    <w:rsid w:val="19E91C71"/>
    <w:rsid w:val="19FD32A2"/>
    <w:rsid w:val="1A3902C9"/>
    <w:rsid w:val="1A7A0B01"/>
    <w:rsid w:val="1A9D5914"/>
    <w:rsid w:val="1AA10915"/>
    <w:rsid w:val="1AD26F96"/>
    <w:rsid w:val="1B2950AB"/>
    <w:rsid w:val="1B3D6A96"/>
    <w:rsid w:val="1B704CCC"/>
    <w:rsid w:val="1B9C25AB"/>
    <w:rsid w:val="1BA76C2C"/>
    <w:rsid w:val="1BFB76DE"/>
    <w:rsid w:val="1C085D65"/>
    <w:rsid w:val="1C2B55B6"/>
    <w:rsid w:val="1C452C9A"/>
    <w:rsid w:val="1CB245FF"/>
    <w:rsid w:val="1CB527C6"/>
    <w:rsid w:val="1CD258B7"/>
    <w:rsid w:val="1D0D1B03"/>
    <w:rsid w:val="1D1A0754"/>
    <w:rsid w:val="1D7802FD"/>
    <w:rsid w:val="1DA02DA4"/>
    <w:rsid w:val="1DAB6545"/>
    <w:rsid w:val="1E2325D5"/>
    <w:rsid w:val="1E425640"/>
    <w:rsid w:val="1E79477D"/>
    <w:rsid w:val="1F166CB6"/>
    <w:rsid w:val="1F330F18"/>
    <w:rsid w:val="1F7C6606"/>
    <w:rsid w:val="1F8B5480"/>
    <w:rsid w:val="1FD912A8"/>
    <w:rsid w:val="1FF830DD"/>
    <w:rsid w:val="1FFE5E47"/>
    <w:rsid w:val="20117D54"/>
    <w:rsid w:val="20250115"/>
    <w:rsid w:val="205E0FBD"/>
    <w:rsid w:val="206C119F"/>
    <w:rsid w:val="208E41C6"/>
    <w:rsid w:val="20BB69C7"/>
    <w:rsid w:val="211C3A7F"/>
    <w:rsid w:val="21466D53"/>
    <w:rsid w:val="21B44EB1"/>
    <w:rsid w:val="23427BDD"/>
    <w:rsid w:val="23790A08"/>
    <w:rsid w:val="23B74E65"/>
    <w:rsid w:val="23FE1281"/>
    <w:rsid w:val="2416771C"/>
    <w:rsid w:val="242E3C4C"/>
    <w:rsid w:val="24854800"/>
    <w:rsid w:val="24E57AC6"/>
    <w:rsid w:val="24EF7530"/>
    <w:rsid w:val="25105C8B"/>
    <w:rsid w:val="260D78FC"/>
    <w:rsid w:val="26295374"/>
    <w:rsid w:val="265B2EF4"/>
    <w:rsid w:val="26795EDD"/>
    <w:rsid w:val="268212E2"/>
    <w:rsid w:val="272B503E"/>
    <w:rsid w:val="276F4E6B"/>
    <w:rsid w:val="27A4787F"/>
    <w:rsid w:val="27C479CE"/>
    <w:rsid w:val="27DB0007"/>
    <w:rsid w:val="27EB145F"/>
    <w:rsid w:val="287321DB"/>
    <w:rsid w:val="288A0C49"/>
    <w:rsid w:val="28BF7927"/>
    <w:rsid w:val="28D73A27"/>
    <w:rsid w:val="2901115E"/>
    <w:rsid w:val="293F1E6F"/>
    <w:rsid w:val="29495C80"/>
    <w:rsid w:val="299B11C1"/>
    <w:rsid w:val="29A6297D"/>
    <w:rsid w:val="29B1432B"/>
    <w:rsid w:val="29BC0887"/>
    <w:rsid w:val="29E22989"/>
    <w:rsid w:val="2A04234F"/>
    <w:rsid w:val="2A287AA1"/>
    <w:rsid w:val="2A631F89"/>
    <w:rsid w:val="2A6B66CD"/>
    <w:rsid w:val="2AB302D5"/>
    <w:rsid w:val="2AD93D2E"/>
    <w:rsid w:val="2B170F66"/>
    <w:rsid w:val="2B5742FA"/>
    <w:rsid w:val="2BBA1C43"/>
    <w:rsid w:val="2C2A5044"/>
    <w:rsid w:val="2C391446"/>
    <w:rsid w:val="2C555FC2"/>
    <w:rsid w:val="2C6B07D9"/>
    <w:rsid w:val="2CAA1868"/>
    <w:rsid w:val="2CC35191"/>
    <w:rsid w:val="2D234254"/>
    <w:rsid w:val="2D2A6CD2"/>
    <w:rsid w:val="2D3F220A"/>
    <w:rsid w:val="2D473B1A"/>
    <w:rsid w:val="2D5F3706"/>
    <w:rsid w:val="2DA70BC6"/>
    <w:rsid w:val="2DB5557D"/>
    <w:rsid w:val="2DE2581E"/>
    <w:rsid w:val="2E4C40D6"/>
    <w:rsid w:val="2EFE59F8"/>
    <w:rsid w:val="2F4622A3"/>
    <w:rsid w:val="2F8C4E66"/>
    <w:rsid w:val="2FD350C4"/>
    <w:rsid w:val="300E1F67"/>
    <w:rsid w:val="303A0B5C"/>
    <w:rsid w:val="30972074"/>
    <w:rsid w:val="30B3112C"/>
    <w:rsid w:val="30C178A9"/>
    <w:rsid w:val="30C63B7A"/>
    <w:rsid w:val="30D40334"/>
    <w:rsid w:val="30D851A5"/>
    <w:rsid w:val="30FB391C"/>
    <w:rsid w:val="31386C43"/>
    <w:rsid w:val="31F82E95"/>
    <w:rsid w:val="32097F82"/>
    <w:rsid w:val="33CC573C"/>
    <w:rsid w:val="342B25C3"/>
    <w:rsid w:val="34E751F9"/>
    <w:rsid w:val="35EA4E8F"/>
    <w:rsid w:val="35F128A3"/>
    <w:rsid w:val="35F80D8C"/>
    <w:rsid w:val="36412135"/>
    <w:rsid w:val="36AE26F2"/>
    <w:rsid w:val="371D7743"/>
    <w:rsid w:val="374D3AF7"/>
    <w:rsid w:val="37636B75"/>
    <w:rsid w:val="383C51E7"/>
    <w:rsid w:val="38422A78"/>
    <w:rsid w:val="38A504AA"/>
    <w:rsid w:val="38B138A2"/>
    <w:rsid w:val="394C5389"/>
    <w:rsid w:val="399B0D63"/>
    <w:rsid w:val="39E60F27"/>
    <w:rsid w:val="3A1D042F"/>
    <w:rsid w:val="3A7638D4"/>
    <w:rsid w:val="3A9D2FFC"/>
    <w:rsid w:val="3AD97F50"/>
    <w:rsid w:val="3B3B5F63"/>
    <w:rsid w:val="3B526196"/>
    <w:rsid w:val="3B86485A"/>
    <w:rsid w:val="3B915020"/>
    <w:rsid w:val="3BAB3FBF"/>
    <w:rsid w:val="3C297685"/>
    <w:rsid w:val="3C350886"/>
    <w:rsid w:val="3CCF747E"/>
    <w:rsid w:val="3CEE186B"/>
    <w:rsid w:val="3CF170A7"/>
    <w:rsid w:val="3CF97696"/>
    <w:rsid w:val="3D2B5D93"/>
    <w:rsid w:val="3D5D5E14"/>
    <w:rsid w:val="3D7F76A9"/>
    <w:rsid w:val="3D835E6A"/>
    <w:rsid w:val="3D922C52"/>
    <w:rsid w:val="3E2F32BB"/>
    <w:rsid w:val="3E6131F4"/>
    <w:rsid w:val="3E733F32"/>
    <w:rsid w:val="3E8E1BBA"/>
    <w:rsid w:val="3E9705E2"/>
    <w:rsid w:val="3EA567BC"/>
    <w:rsid w:val="3EE72AAB"/>
    <w:rsid w:val="3F2763F3"/>
    <w:rsid w:val="3F312D55"/>
    <w:rsid w:val="3F6E6F9F"/>
    <w:rsid w:val="3F9632B6"/>
    <w:rsid w:val="3FDA022D"/>
    <w:rsid w:val="404B3B17"/>
    <w:rsid w:val="40F343E7"/>
    <w:rsid w:val="411A5242"/>
    <w:rsid w:val="4158748D"/>
    <w:rsid w:val="4173669C"/>
    <w:rsid w:val="41B47B74"/>
    <w:rsid w:val="41C10913"/>
    <w:rsid w:val="41D6776D"/>
    <w:rsid w:val="41FF2D3F"/>
    <w:rsid w:val="42337C74"/>
    <w:rsid w:val="4243480B"/>
    <w:rsid w:val="426B6CDA"/>
    <w:rsid w:val="42AB5C80"/>
    <w:rsid w:val="42FC645C"/>
    <w:rsid w:val="43017D77"/>
    <w:rsid w:val="431C229D"/>
    <w:rsid w:val="43773425"/>
    <w:rsid w:val="439F7293"/>
    <w:rsid w:val="43A253D4"/>
    <w:rsid w:val="43AF2A81"/>
    <w:rsid w:val="43EA7AE1"/>
    <w:rsid w:val="44515ECF"/>
    <w:rsid w:val="4465567D"/>
    <w:rsid w:val="446778B8"/>
    <w:rsid w:val="450743C5"/>
    <w:rsid w:val="452F7B88"/>
    <w:rsid w:val="45D02FE5"/>
    <w:rsid w:val="45E975BA"/>
    <w:rsid w:val="45F01ABD"/>
    <w:rsid w:val="462659C6"/>
    <w:rsid w:val="464A0F52"/>
    <w:rsid w:val="46E12910"/>
    <w:rsid w:val="470E1B2B"/>
    <w:rsid w:val="47357C7A"/>
    <w:rsid w:val="474317B3"/>
    <w:rsid w:val="476C0A57"/>
    <w:rsid w:val="47F65FD8"/>
    <w:rsid w:val="47FF0D7F"/>
    <w:rsid w:val="481B0205"/>
    <w:rsid w:val="487F0F77"/>
    <w:rsid w:val="48991E20"/>
    <w:rsid w:val="48E53CBF"/>
    <w:rsid w:val="49294DF1"/>
    <w:rsid w:val="493E405C"/>
    <w:rsid w:val="494F3005"/>
    <w:rsid w:val="49790C0B"/>
    <w:rsid w:val="49E83F49"/>
    <w:rsid w:val="4A053AE4"/>
    <w:rsid w:val="4A6B417B"/>
    <w:rsid w:val="4A7F081B"/>
    <w:rsid w:val="4A845D5B"/>
    <w:rsid w:val="4B1261A1"/>
    <w:rsid w:val="4C0816A1"/>
    <w:rsid w:val="4C1707E0"/>
    <w:rsid w:val="4C877B81"/>
    <w:rsid w:val="4C946E5D"/>
    <w:rsid w:val="4C970361"/>
    <w:rsid w:val="4CA5534C"/>
    <w:rsid w:val="4D115C84"/>
    <w:rsid w:val="4DAA22DD"/>
    <w:rsid w:val="4DFE1190"/>
    <w:rsid w:val="4E55278A"/>
    <w:rsid w:val="4E5836D4"/>
    <w:rsid w:val="4E651163"/>
    <w:rsid w:val="4EF96170"/>
    <w:rsid w:val="4F437731"/>
    <w:rsid w:val="4F4F188B"/>
    <w:rsid w:val="4F865B1C"/>
    <w:rsid w:val="4F86617E"/>
    <w:rsid w:val="4FB80CFC"/>
    <w:rsid w:val="505F5DC5"/>
    <w:rsid w:val="506934FF"/>
    <w:rsid w:val="50716E66"/>
    <w:rsid w:val="509A6D07"/>
    <w:rsid w:val="509C47B3"/>
    <w:rsid w:val="50A249E2"/>
    <w:rsid w:val="50FD7801"/>
    <w:rsid w:val="511179F3"/>
    <w:rsid w:val="51317051"/>
    <w:rsid w:val="51445498"/>
    <w:rsid w:val="51712CC4"/>
    <w:rsid w:val="51B35CAA"/>
    <w:rsid w:val="521D7278"/>
    <w:rsid w:val="52344A4F"/>
    <w:rsid w:val="5261181A"/>
    <w:rsid w:val="528463ED"/>
    <w:rsid w:val="52863E33"/>
    <w:rsid w:val="52962B19"/>
    <w:rsid w:val="52E468E8"/>
    <w:rsid w:val="532F7821"/>
    <w:rsid w:val="53777736"/>
    <w:rsid w:val="5386016D"/>
    <w:rsid w:val="545673AA"/>
    <w:rsid w:val="546A0921"/>
    <w:rsid w:val="54BB2404"/>
    <w:rsid w:val="54D62718"/>
    <w:rsid w:val="54E61C13"/>
    <w:rsid w:val="54ED3326"/>
    <w:rsid w:val="552001E0"/>
    <w:rsid w:val="554468C3"/>
    <w:rsid w:val="55BC5AFC"/>
    <w:rsid w:val="56033A9C"/>
    <w:rsid w:val="570E006E"/>
    <w:rsid w:val="5745652A"/>
    <w:rsid w:val="575F616E"/>
    <w:rsid w:val="57705740"/>
    <w:rsid w:val="57763C82"/>
    <w:rsid w:val="57C304CC"/>
    <w:rsid w:val="582D2B93"/>
    <w:rsid w:val="58CF2AB9"/>
    <w:rsid w:val="596C05A0"/>
    <w:rsid w:val="599B41CA"/>
    <w:rsid w:val="599F419F"/>
    <w:rsid w:val="59E13DB2"/>
    <w:rsid w:val="59E14F69"/>
    <w:rsid w:val="59FD4842"/>
    <w:rsid w:val="5A087AA3"/>
    <w:rsid w:val="5A0D687E"/>
    <w:rsid w:val="5A0E7D8C"/>
    <w:rsid w:val="5AC22CC3"/>
    <w:rsid w:val="5AC563CD"/>
    <w:rsid w:val="5AE53780"/>
    <w:rsid w:val="5B374E1B"/>
    <w:rsid w:val="5B3C7955"/>
    <w:rsid w:val="5B3D43D8"/>
    <w:rsid w:val="5C1F4E75"/>
    <w:rsid w:val="5C2D20BD"/>
    <w:rsid w:val="5D010C39"/>
    <w:rsid w:val="5D0F2AD1"/>
    <w:rsid w:val="5D211F01"/>
    <w:rsid w:val="5D8E4051"/>
    <w:rsid w:val="5DB3379D"/>
    <w:rsid w:val="5E221344"/>
    <w:rsid w:val="5E25091F"/>
    <w:rsid w:val="5E452013"/>
    <w:rsid w:val="5E8F7FE5"/>
    <w:rsid w:val="5ED120E2"/>
    <w:rsid w:val="5EFF089D"/>
    <w:rsid w:val="5F1C13FD"/>
    <w:rsid w:val="5F8E1D0E"/>
    <w:rsid w:val="5FCE523C"/>
    <w:rsid w:val="5FEA164E"/>
    <w:rsid w:val="600363A2"/>
    <w:rsid w:val="60465D2B"/>
    <w:rsid w:val="605B02FA"/>
    <w:rsid w:val="605F0CE9"/>
    <w:rsid w:val="605F55C9"/>
    <w:rsid w:val="60894ACE"/>
    <w:rsid w:val="609770F5"/>
    <w:rsid w:val="60E00C0F"/>
    <w:rsid w:val="60E85445"/>
    <w:rsid w:val="614705A1"/>
    <w:rsid w:val="61470A71"/>
    <w:rsid w:val="617951AA"/>
    <w:rsid w:val="61936A9E"/>
    <w:rsid w:val="62056209"/>
    <w:rsid w:val="627A1D17"/>
    <w:rsid w:val="62A72B08"/>
    <w:rsid w:val="63093784"/>
    <w:rsid w:val="6450694E"/>
    <w:rsid w:val="647C285C"/>
    <w:rsid w:val="647D3FFB"/>
    <w:rsid w:val="64C63D34"/>
    <w:rsid w:val="64D654F7"/>
    <w:rsid w:val="64D665EE"/>
    <w:rsid w:val="64F120BE"/>
    <w:rsid w:val="657C2FE1"/>
    <w:rsid w:val="65AF46E2"/>
    <w:rsid w:val="65F21FBA"/>
    <w:rsid w:val="664D221D"/>
    <w:rsid w:val="66892E9B"/>
    <w:rsid w:val="66C03FC5"/>
    <w:rsid w:val="66C33145"/>
    <w:rsid w:val="673D3D5D"/>
    <w:rsid w:val="678157B6"/>
    <w:rsid w:val="678645AF"/>
    <w:rsid w:val="67AA183D"/>
    <w:rsid w:val="67AA7966"/>
    <w:rsid w:val="67C83981"/>
    <w:rsid w:val="67DF2854"/>
    <w:rsid w:val="68865AC1"/>
    <w:rsid w:val="68E00F4A"/>
    <w:rsid w:val="6951087C"/>
    <w:rsid w:val="696A5E6C"/>
    <w:rsid w:val="696D5A88"/>
    <w:rsid w:val="697254A1"/>
    <w:rsid w:val="697D1496"/>
    <w:rsid w:val="698257A5"/>
    <w:rsid w:val="69954A9B"/>
    <w:rsid w:val="6A2677BD"/>
    <w:rsid w:val="6A69246D"/>
    <w:rsid w:val="6AC94381"/>
    <w:rsid w:val="6ACA2E83"/>
    <w:rsid w:val="6B3C35B4"/>
    <w:rsid w:val="6B4019D7"/>
    <w:rsid w:val="6B825E25"/>
    <w:rsid w:val="6C4D597B"/>
    <w:rsid w:val="6C5D6F8F"/>
    <w:rsid w:val="6CAD4545"/>
    <w:rsid w:val="6CC219B5"/>
    <w:rsid w:val="6CF24BA7"/>
    <w:rsid w:val="6D446E3F"/>
    <w:rsid w:val="6D916AD2"/>
    <w:rsid w:val="6DE53888"/>
    <w:rsid w:val="6E0F3A51"/>
    <w:rsid w:val="6E2507CE"/>
    <w:rsid w:val="6E3957FC"/>
    <w:rsid w:val="6E797623"/>
    <w:rsid w:val="6EAC0F4B"/>
    <w:rsid w:val="6EB3539F"/>
    <w:rsid w:val="6EEF3D0E"/>
    <w:rsid w:val="6F103347"/>
    <w:rsid w:val="6F8877D0"/>
    <w:rsid w:val="6FC311A5"/>
    <w:rsid w:val="701C6432"/>
    <w:rsid w:val="708812CD"/>
    <w:rsid w:val="70D452BB"/>
    <w:rsid w:val="71B518CD"/>
    <w:rsid w:val="722E63F1"/>
    <w:rsid w:val="72C00D44"/>
    <w:rsid w:val="72D20CA5"/>
    <w:rsid w:val="72FC1CA9"/>
    <w:rsid w:val="735A51A9"/>
    <w:rsid w:val="73841C2E"/>
    <w:rsid w:val="73AC20B9"/>
    <w:rsid w:val="73DC41EC"/>
    <w:rsid w:val="743B1C50"/>
    <w:rsid w:val="745B76D4"/>
    <w:rsid w:val="74D45FF9"/>
    <w:rsid w:val="74E141A0"/>
    <w:rsid w:val="751D5FE5"/>
    <w:rsid w:val="75933883"/>
    <w:rsid w:val="75B404D8"/>
    <w:rsid w:val="75C13384"/>
    <w:rsid w:val="767C2882"/>
    <w:rsid w:val="7680415A"/>
    <w:rsid w:val="76814D4E"/>
    <w:rsid w:val="769942B7"/>
    <w:rsid w:val="76996034"/>
    <w:rsid w:val="769D4328"/>
    <w:rsid w:val="76AC1328"/>
    <w:rsid w:val="77072B92"/>
    <w:rsid w:val="770C6830"/>
    <w:rsid w:val="771A1B66"/>
    <w:rsid w:val="778A450D"/>
    <w:rsid w:val="77B867B6"/>
    <w:rsid w:val="77B94ECE"/>
    <w:rsid w:val="77EC49A2"/>
    <w:rsid w:val="78260F58"/>
    <w:rsid w:val="782851E6"/>
    <w:rsid w:val="78310B94"/>
    <w:rsid w:val="785C62DB"/>
    <w:rsid w:val="792C25AC"/>
    <w:rsid w:val="793B418D"/>
    <w:rsid w:val="795A2F78"/>
    <w:rsid w:val="796A329A"/>
    <w:rsid w:val="79AC37DC"/>
    <w:rsid w:val="79C977CF"/>
    <w:rsid w:val="7A106DCB"/>
    <w:rsid w:val="7A453F7F"/>
    <w:rsid w:val="7A52085F"/>
    <w:rsid w:val="7A837292"/>
    <w:rsid w:val="7AD02023"/>
    <w:rsid w:val="7B300572"/>
    <w:rsid w:val="7B542D04"/>
    <w:rsid w:val="7B554713"/>
    <w:rsid w:val="7B657EF6"/>
    <w:rsid w:val="7C2B2E39"/>
    <w:rsid w:val="7C407D24"/>
    <w:rsid w:val="7C4726D8"/>
    <w:rsid w:val="7C8A51C2"/>
    <w:rsid w:val="7C9D0B93"/>
    <w:rsid w:val="7C9D663C"/>
    <w:rsid w:val="7CA55F7E"/>
    <w:rsid w:val="7CA608E1"/>
    <w:rsid w:val="7D2A3F4C"/>
    <w:rsid w:val="7D2B1D08"/>
    <w:rsid w:val="7D321AC0"/>
    <w:rsid w:val="7D3B4891"/>
    <w:rsid w:val="7D56164A"/>
    <w:rsid w:val="7DAA0724"/>
    <w:rsid w:val="7DB0279D"/>
    <w:rsid w:val="7DB20B4D"/>
    <w:rsid w:val="7DF44CC0"/>
    <w:rsid w:val="7E257BDC"/>
    <w:rsid w:val="7E2C4B0F"/>
    <w:rsid w:val="7EC30D74"/>
    <w:rsid w:val="7F291384"/>
    <w:rsid w:val="7F534313"/>
    <w:rsid w:val="7F9C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6"/>
    <w:next w:val="6"/>
    <w:unhideWhenUsed/>
    <w:qFormat/>
    <w:uiPriority w:val="0"/>
    <w:pPr>
      <w:keepNext/>
      <w:keepLines/>
      <w:spacing w:line="413" w:lineRule="auto"/>
      <w:outlineLvl w:val="1"/>
    </w:pPr>
    <w:rPr>
      <w:rFonts w:ascii="Arial" w:hAnsi="Arial" w:eastAsia="黑体"/>
      <w:b/>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index 8"/>
    <w:basedOn w:val="1"/>
    <w:next w:val="1"/>
    <w:qFormat/>
    <w:uiPriority w:val="0"/>
    <w:pPr>
      <w:ind w:left="1400" w:leftChars="1400"/>
    </w:pPr>
  </w:style>
  <w:style w:type="paragraph" w:customStyle="1" w:styleId="6">
    <w:name w:val="正文1"/>
    <w:basedOn w:val="1"/>
    <w:qFormat/>
    <w:uiPriority w:val="0"/>
    <w:pPr>
      <w:spacing w:line="560" w:lineRule="exact"/>
      <w:ind w:firstLine="640" w:firstLineChars="200"/>
    </w:pPr>
    <w:rPr>
      <w:rFonts w:ascii="仿宋_GB2312" w:hAnsi="Calibri" w:eastAsia="仿宋_GB2312"/>
      <w:sz w:val="32"/>
      <w:szCs w:val="32"/>
    </w:rPr>
  </w:style>
  <w:style w:type="paragraph" w:styleId="7">
    <w:name w:val="Normal Indent"/>
    <w:basedOn w:val="1"/>
    <w:next w:val="1"/>
    <w:qFormat/>
    <w:uiPriority w:val="0"/>
    <w:pPr>
      <w:ind w:firstLine="420"/>
    </w:p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styleId="16">
    <w:name w:val="footnote reference"/>
    <w:basedOn w:val="14"/>
    <w:qFormat/>
    <w:uiPriority w:val="0"/>
    <w:rPr>
      <w:vertAlign w:val="superscript"/>
    </w:rPr>
  </w:style>
  <w:style w:type="paragraph" w:customStyle="1" w:styleId="17">
    <w:name w:val="段落文字"/>
    <w:basedOn w:val="1"/>
    <w:qFormat/>
    <w:uiPriority w:val="34"/>
    <w:pPr>
      <w:adjustRightInd w:val="0"/>
      <w:snapToGrid w:val="0"/>
      <w:spacing w:line="360" w:lineRule="auto"/>
      <w:ind w:firstLine="200" w:firstLineChars="200"/>
      <w:jc w:val="left"/>
    </w:pPr>
    <w:rPr>
      <w:sz w:val="24"/>
    </w:rPr>
  </w:style>
  <w:style w:type="paragraph" w:customStyle="1" w:styleId="18">
    <w:name w:val="1."/>
    <w:basedOn w:val="6"/>
    <w:next w:val="6"/>
    <w:qFormat/>
    <w:uiPriority w:val="0"/>
    <w:pPr>
      <w:ind w:firstLine="643"/>
    </w:pPr>
    <w:rPr>
      <w:b/>
    </w:rPr>
  </w:style>
  <w:style w:type="character" w:customStyle="1" w:styleId="19">
    <w:name w:val="NormalCharacter"/>
    <w:semiHidden/>
    <w:qFormat/>
    <w:uiPriority w:val="0"/>
  </w:style>
  <w:style w:type="character" w:customStyle="1" w:styleId="20">
    <w:name w:val="页眉 Char"/>
    <w:basedOn w:val="14"/>
    <w:link w:val="10"/>
    <w:qFormat/>
    <w:uiPriority w:val="0"/>
    <w:rPr>
      <w:kern w:val="2"/>
      <w:sz w:val="18"/>
      <w:szCs w:val="18"/>
    </w:rPr>
  </w:style>
  <w:style w:type="character" w:customStyle="1" w:styleId="21">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1894</Words>
  <Characters>10797</Characters>
  <Lines>89</Lines>
  <Paragraphs>25</Paragraphs>
  <TotalTime>134</TotalTime>
  <ScaleCrop>false</ScaleCrop>
  <LinksUpToDate>false</LinksUpToDate>
  <CharactersWithSpaces>12666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王雅文</cp:lastModifiedBy>
  <cp:lastPrinted>2019-12-17T01:51:00Z</cp:lastPrinted>
  <dcterms:modified xsi:type="dcterms:W3CDTF">2019-12-17T02:45:21Z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